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5BBA" w14:textId="40B197BC" w:rsidR="007C660E" w:rsidRPr="00863DF8" w:rsidRDefault="007C660E" w:rsidP="000457B7">
      <w:pPr>
        <w:spacing w:after="0"/>
        <w:jc w:val="right"/>
      </w:pPr>
      <w:r w:rsidRPr="00863DF8">
        <w:t>Załącznik</w:t>
      </w:r>
    </w:p>
    <w:p w14:paraId="678C579A" w14:textId="0CC5037B" w:rsidR="00CB7826" w:rsidRPr="00863DF8" w:rsidRDefault="007C660E" w:rsidP="000457B7">
      <w:pPr>
        <w:spacing w:after="0"/>
        <w:jc w:val="right"/>
      </w:pPr>
      <w:r w:rsidRPr="00863DF8">
        <w:t xml:space="preserve">do Zarządzenia nr </w:t>
      </w:r>
      <w:r w:rsidR="00943039">
        <w:t>1723/XI/2022</w:t>
      </w:r>
    </w:p>
    <w:p w14:paraId="2EECA55E" w14:textId="7F540EA5" w:rsidR="007C660E" w:rsidRPr="00863DF8" w:rsidRDefault="007C660E" w:rsidP="004240F6">
      <w:pPr>
        <w:spacing w:after="0"/>
        <w:jc w:val="right"/>
      </w:pPr>
      <w:r w:rsidRPr="00863DF8">
        <w:t>Burmistrza Gołdapi</w:t>
      </w:r>
      <w:r w:rsidR="004240F6" w:rsidRPr="00863DF8">
        <w:t xml:space="preserve"> </w:t>
      </w:r>
      <w:r w:rsidRPr="00863DF8">
        <w:t xml:space="preserve">z dnia </w:t>
      </w:r>
      <w:r w:rsidR="00943039">
        <w:t>24 listopada 2022r.</w:t>
      </w:r>
    </w:p>
    <w:p w14:paraId="58255146" w14:textId="77777777" w:rsidR="000457B7" w:rsidRPr="00863DF8" w:rsidRDefault="000457B7" w:rsidP="000457B7">
      <w:pPr>
        <w:spacing w:after="0"/>
        <w:jc w:val="right"/>
      </w:pPr>
    </w:p>
    <w:p w14:paraId="0EE51FEF" w14:textId="77777777" w:rsidR="00863DF8" w:rsidRDefault="00863DF8" w:rsidP="000457B7">
      <w:pPr>
        <w:spacing w:after="0" w:line="360" w:lineRule="auto"/>
        <w:jc w:val="center"/>
      </w:pPr>
    </w:p>
    <w:p w14:paraId="036BDC62" w14:textId="271FED73" w:rsidR="007C660E" w:rsidRPr="00863DF8" w:rsidRDefault="007C660E" w:rsidP="000457B7">
      <w:pPr>
        <w:spacing w:after="0" w:line="360" w:lineRule="auto"/>
        <w:jc w:val="center"/>
      </w:pPr>
      <w:r w:rsidRPr="00863DF8">
        <w:t xml:space="preserve">Procedura </w:t>
      </w:r>
      <w:r w:rsidR="009B1BD2" w:rsidRPr="00863DF8">
        <w:t xml:space="preserve">prowadzenia ewidencji ilościowej energii elektrycznej oraz tworzenia i składania deklaracji na podatek </w:t>
      </w:r>
      <w:r w:rsidR="00BD421F" w:rsidRPr="00863DF8">
        <w:t>akcyzow</w:t>
      </w:r>
      <w:r w:rsidR="009B1BD2" w:rsidRPr="00863DF8">
        <w:t>y</w:t>
      </w:r>
    </w:p>
    <w:p w14:paraId="39C86CBC" w14:textId="77777777" w:rsidR="000457B7" w:rsidRPr="00863DF8" w:rsidRDefault="000457B7" w:rsidP="000457B7">
      <w:pPr>
        <w:spacing w:after="0" w:line="360" w:lineRule="auto"/>
        <w:jc w:val="both"/>
      </w:pPr>
    </w:p>
    <w:p w14:paraId="7DE65EBF" w14:textId="7FB3ECCA" w:rsidR="00F43B95" w:rsidRPr="00863DF8" w:rsidRDefault="00F43B95" w:rsidP="00F43B95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§ 1</w:t>
      </w:r>
    </w:p>
    <w:p w14:paraId="6404906D" w14:textId="0DDE49E9" w:rsidR="009B1BD2" w:rsidRPr="00863DF8" w:rsidRDefault="009B1BD2" w:rsidP="009B1BD2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Procedura określa sposób prowadzenia ewidencji ilościowej energii elektrycznej oraz tworzenia i</w:t>
      </w:r>
      <w:r w:rsidR="00863DF8" w:rsidRPr="00863DF8">
        <w:rPr>
          <w:rFonts w:cstheme="minorHAnsi"/>
          <w:shd w:val="clear" w:color="auto" w:fill="FFFFFF"/>
        </w:rPr>
        <w:t> </w:t>
      </w:r>
      <w:r w:rsidRPr="00863DF8">
        <w:rPr>
          <w:rFonts w:cstheme="minorHAnsi"/>
          <w:shd w:val="clear" w:color="auto" w:fill="FFFFFF"/>
        </w:rPr>
        <w:t>składania deklaracji na podatek akcyzowy Gminy na podstawie cząstkowych ewidencji i deklaracji jej jednostek budżetowych, w związku z posiadanymi instalacjami fotowoltaicznymi.</w:t>
      </w:r>
    </w:p>
    <w:p w14:paraId="348FF06D" w14:textId="3DF5DE1C" w:rsidR="009B1BD2" w:rsidRPr="00863DF8" w:rsidRDefault="009B1BD2" w:rsidP="009B1BD2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§ 2</w:t>
      </w:r>
    </w:p>
    <w:p w14:paraId="6B3709A1" w14:textId="580CD77E" w:rsidR="009B1BD2" w:rsidRPr="00863DF8" w:rsidRDefault="009B1BD2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Kluczowe pojęcia użyte w procedurze:</w:t>
      </w:r>
    </w:p>
    <w:p w14:paraId="2A656519" w14:textId="77AE0D09" w:rsidR="009559D9" w:rsidRPr="00863DF8" w:rsidRDefault="009559D9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1. Gmina – Gmina Gołdap</w:t>
      </w:r>
      <w:r w:rsidR="002A28DC" w:rsidRPr="00863DF8">
        <w:rPr>
          <w:rFonts w:cstheme="minorHAnsi"/>
          <w:shd w:val="clear" w:color="auto" w:fill="FFFFFF"/>
        </w:rPr>
        <w:t>,</w:t>
      </w:r>
    </w:p>
    <w:p w14:paraId="226EA45F" w14:textId="18134D7B" w:rsidR="009559D9" w:rsidRPr="00863DF8" w:rsidRDefault="009559D9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2. Urząd – Urząd Miejski w Gołdapi</w:t>
      </w:r>
      <w:r w:rsidR="002A28DC" w:rsidRPr="00863DF8">
        <w:rPr>
          <w:rFonts w:cstheme="minorHAnsi"/>
          <w:shd w:val="clear" w:color="auto" w:fill="FFFFFF"/>
        </w:rPr>
        <w:t>,</w:t>
      </w:r>
    </w:p>
    <w:p w14:paraId="23AEFF1A" w14:textId="61B69149" w:rsidR="009559D9" w:rsidRPr="00863DF8" w:rsidRDefault="009559D9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3. Jednostka budżetowa – samorządowa jednostka budżetowa w rozumieniu ustawy z dnia 27 sierpnia 2009 r. o finansach publicznych (Dz.U. z 2022 r., poz. 1634 ze zm.)</w:t>
      </w:r>
      <w:r w:rsidR="002A28DC" w:rsidRPr="00863DF8">
        <w:rPr>
          <w:rFonts w:cstheme="minorHAnsi"/>
          <w:shd w:val="clear" w:color="auto" w:fill="FFFFFF"/>
        </w:rPr>
        <w:t>,</w:t>
      </w:r>
    </w:p>
    <w:p w14:paraId="33F09149" w14:textId="43FACD81" w:rsidR="00505489" w:rsidRPr="00863DF8" w:rsidRDefault="00505489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4. Kierownik jednostki budżetowej </w:t>
      </w:r>
      <w:r w:rsidR="003227F5" w:rsidRPr="00863DF8">
        <w:rPr>
          <w:rFonts w:cstheme="minorHAnsi"/>
          <w:shd w:val="clear" w:color="auto" w:fill="FFFFFF"/>
        </w:rPr>
        <w:t>–</w:t>
      </w:r>
      <w:r w:rsidRPr="00863DF8">
        <w:rPr>
          <w:rFonts w:cstheme="minorHAnsi"/>
          <w:shd w:val="clear" w:color="auto" w:fill="FFFFFF"/>
        </w:rPr>
        <w:t xml:space="preserve"> </w:t>
      </w:r>
      <w:r w:rsidR="003227F5" w:rsidRPr="00863DF8">
        <w:rPr>
          <w:rFonts w:cstheme="minorHAnsi"/>
          <w:shd w:val="clear" w:color="auto" w:fill="FFFFFF"/>
        </w:rPr>
        <w:t>osoba uprawniona do zarządzania jednostką, pojęcie to obejmuje również dyrektora jednostki budżetowej,</w:t>
      </w:r>
    </w:p>
    <w:p w14:paraId="07AAB27F" w14:textId="350AF2FA" w:rsidR="003227F5" w:rsidRPr="00863DF8" w:rsidRDefault="003227F5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5. Wyznaczeni pracownicy – pracownicy wyznaczeni przez kierownika jednostki budżetowej jako osoby zobowiązane do wykonywania czynności w ramach niniejszej procedury,</w:t>
      </w:r>
    </w:p>
    <w:p w14:paraId="314C7147" w14:textId="384DC815" w:rsidR="001D5EF5" w:rsidRPr="00863DF8" w:rsidRDefault="003227F5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6</w:t>
      </w:r>
      <w:r w:rsidR="009559D9" w:rsidRPr="00863DF8">
        <w:rPr>
          <w:rFonts w:cstheme="minorHAnsi"/>
          <w:shd w:val="clear" w:color="auto" w:fill="FFFFFF"/>
        </w:rPr>
        <w:t xml:space="preserve">. Ewidencje cząstkowe – ewidencje </w:t>
      </w:r>
      <w:r w:rsidR="00505489" w:rsidRPr="00863DF8">
        <w:rPr>
          <w:rFonts w:cstheme="minorHAnsi"/>
          <w:shd w:val="clear" w:color="auto" w:fill="FFFFFF"/>
        </w:rPr>
        <w:t xml:space="preserve">ilościowe </w:t>
      </w:r>
      <w:r w:rsidR="009559D9" w:rsidRPr="00863DF8">
        <w:rPr>
          <w:rFonts w:cstheme="minorHAnsi"/>
          <w:shd w:val="clear" w:color="auto" w:fill="FFFFFF"/>
        </w:rPr>
        <w:t xml:space="preserve">energii elektrycznej prowadzone i przesyłane do Urzędu przez jednostki </w:t>
      </w:r>
      <w:r w:rsidR="002A28DC" w:rsidRPr="00863DF8">
        <w:rPr>
          <w:rFonts w:cstheme="minorHAnsi"/>
          <w:shd w:val="clear" w:color="auto" w:fill="FFFFFF"/>
        </w:rPr>
        <w:t>budżetowe Gminy,</w:t>
      </w:r>
    </w:p>
    <w:p w14:paraId="28BB25C4" w14:textId="27CAB9B1" w:rsidR="002A28DC" w:rsidRPr="00863DF8" w:rsidRDefault="003227F5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7</w:t>
      </w:r>
      <w:r w:rsidR="002A28DC" w:rsidRPr="00863DF8">
        <w:rPr>
          <w:rFonts w:cstheme="minorHAnsi"/>
          <w:shd w:val="clear" w:color="auto" w:fill="FFFFFF"/>
        </w:rPr>
        <w:t>. Deklaracje cząstkowe – deklaracje na podatek akcyzowy oraz korekty deklaracji na podatek akcyzowy tworzone i przesyłane do Urzędu przez jednostki budżetowe Gminy,</w:t>
      </w:r>
    </w:p>
    <w:p w14:paraId="61A3F25B" w14:textId="3D669A06" w:rsidR="002A28DC" w:rsidRPr="00863DF8" w:rsidRDefault="003227F5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8</w:t>
      </w:r>
      <w:r w:rsidR="002A28DC" w:rsidRPr="00863DF8">
        <w:rPr>
          <w:rFonts w:cstheme="minorHAnsi"/>
          <w:shd w:val="clear" w:color="auto" w:fill="FFFFFF"/>
        </w:rPr>
        <w:t xml:space="preserve">. Ewidencja łączna – ewidencja </w:t>
      </w:r>
      <w:r w:rsidR="00505489" w:rsidRPr="00863DF8">
        <w:rPr>
          <w:rFonts w:cstheme="minorHAnsi"/>
          <w:shd w:val="clear" w:color="auto" w:fill="FFFFFF"/>
        </w:rPr>
        <w:t xml:space="preserve">ilościowa energii elektrycznej </w:t>
      </w:r>
      <w:r w:rsidR="002A28DC" w:rsidRPr="00863DF8">
        <w:rPr>
          <w:rFonts w:cstheme="minorHAnsi"/>
          <w:shd w:val="clear" w:color="auto" w:fill="FFFFFF"/>
        </w:rPr>
        <w:t>Gminy prowadzona w Urzędzie na podstawie ewidencji cząstkowych,</w:t>
      </w:r>
    </w:p>
    <w:p w14:paraId="66306173" w14:textId="51AB3F92" w:rsidR="002A28DC" w:rsidRPr="00863DF8" w:rsidRDefault="003227F5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9</w:t>
      </w:r>
      <w:r w:rsidR="002A28DC" w:rsidRPr="00863DF8">
        <w:rPr>
          <w:rFonts w:cstheme="minorHAnsi"/>
          <w:shd w:val="clear" w:color="auto" w:fill="FFFFFF"/>
        </w:rPr>
        <w:t>. Deklaracja łączna – deklaracja na podatek akcyzowy Gminy, tworzona i przesyłana do Urzędu Skarbowego przez pracownika Urzędu na podstawie deklaracji cząstkowych.</w:t>
      </w:r>
    </w:p>
    <w:p w14:paraId="48EFD2A3" w14:textId="3FC1F55F" w:rsidR="002A28DC" w:rsidRPr="00863DF8" w:rsidRDefault="002A28DC" w:rsidP="009B1BD2">
      <w:pPr>
        <w:spacing w:after="0" w:line="360" w:lineRule="auto"/>
        <w:jc w:val="center"/>
        <w:rPr>
          <w:rFonts w:cstheme="minorHAnsi"/>
          <w:shd w:val="clear" w:color="auto" w:fill="FFFFFF"/>
        </w:rPr>
      </w:pPr>
      <w:bookmarkStart w:id="0" w:name="_Hlk119656086"/>
      <w:r w:rsidRPr="00863DF8">
        <w:rPr>
          <w:rFonts w:cstheme="minorHAnsi"/>
          <w:shd w:val="clear" w:color="auto" w:fill="FFFFFF"/>
        </w:rPr>
        <w:t>§ 3</w:t>
      </w:r>
    </w:p>
    <w:bookmarkEnd w:id="0"/>
    <w:p w14:paraId="0EEF2152" w14:textId="66B5420C" w:rsidR="002A28DC" w:rsidRPr="00863DF8" w:rsidRDefault="002A28DC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Procedura została opracowana na podstawie </w:t>
      </w:r>
      <w:r w:rsidR="00487CC6" w:rsidRPr="00863DF8">
        <w:rPr>
          <w:rFonts w:cstheme="minorHAnsi"/>
          <w:shd w:val="clear" w:color="auto" w:fill="FFFFFF"/>
        </w:rPr>
        <w:t>następujących aktów prawnych:</w:t>
      </w:r>
    </w:p>
    <w:p w14:paraId="52B3C5F6" w14:textId="7B8711B1" w:rsidR="00487CC6" w:rsidRPr="00863DF8" w:rsidRDefault="001D5EF5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1. Ustawa z dnia 6 grudnia 2008 r. o podatku akcyzowym (Dz.U. z 2022 r., poz. 143 ze zm.),</w:t>
      </w:r>
    </w:p>
    <w:p w14:paraId="07BEAB1D" w14:textId="19F5C234" w:rsidR="001D5EF5" w:rsidRPr="00863DF8" w:rsidRDefault="001D5EF5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2. </w:t>
      </w:r>
      <w:r w:rsidR="00FE0AAA" w:rsidRPr="00863DF8">
        <w:rPr>
          <w:rFonts w:cstheme="minorHAnsi"/>
          <w:shd w:val="clear" w:color="auto" w:fill="FFFFFF"/>
        </w:rPr>
        <w:t>Rozporządzenie Ministra Finansów z dnia 17 grudnia 2021 r. w sprawie wzorów deklaracji podatkowych w sprawie podatku akcyzowego oraz deklaracji w sprawie przedpłaty podatku akcyzowego (Dz.U. poz. 2436)</w:t>
      </w:r>
      <w:r w:rsidR="00177F0D" w:rsidRPr="00863DF8">
        <w:rPr>
          <w:rFonts w:cstheme="minorHAnsi"/>
          <w:shd w:val="clear" w:color="auto" w:fill="FFFFFF"/>
        </w:rPr>
        <w:t>,</w:t>
      </w:r>
    </w:p>
    <w:p w14:paraId="4005F4BD" w14:textId="0428154B" w:rsidR="00FE0AAA" w:rsidRPr="00863DF8" w:rsidRDefault="00FE0AAA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lastRenderedPageBreak/>
        <w:t xml:space="preserve">3. </w:t>
      </w:r>
      <w:r w:rsidR="00F80082" w:rsidRPr="00863DF8">
        <w:rPr>
          <w:rFonts w:cstheme="minorHAnsi"/>
          <w:shd w:val="clear" w:color="auto" w:fill="FFFFFF"/>
        </w:rPr>
        <w:t>Rozporządzenie Ministra Finansów, Funduszy i Polityki Regionalnej z dnia 11 czerwca 2021 r. w</w:t>
      </w:r>
      <w:r w:rsidR="00FB2B06" w:rsidRPr="00863DF8">
        <w:rPr>
          <w:rFonts w:cstheme="minorHAnsi"/>
          <w:shd w:val="clear" w:color="auto" w:fill="FFFFFF"/>
        </w:rPr>
        <w:t> </w:t>
      </w:r>
      <w:r w:rsidR="00F80082" w:rsidRPr="00863DF8">
        <w:rPr>
          <w:rFonts w:cstheme="minorHAnsi"/>
          <w:shd w:val="clear" w:color="auto" w:fill="FFFFFF"/>
        </w:rPr>
        <w:t>sprawie ewidencji i innych dokumentacji dotyczących wyrobów akcyzowych i znaków akcyzy</w:t>
      </w:r>
      <w:r w:rsidR="00FB2B06" w:rsidRPr="00863DF8">
        <w:rPr>
          <w:rFonts w:cstheme="minorHAnsi"/>
          <w:shd w:val="clear" w:color="auto" w:fill="FFFFFF"/>
        </w:rPr>
        <w:t xml:space="preserve"> (Dz.U. poz. 1150 ze</w:t>
      </w:r>
      <w:r w:rsidR="00505FD6" w:rsidRPr="00863DF8">
        <w:rPr>
          <w:rFonts w:cstheme="minorHAnsi"/>
          <w:shd w:val="clear" w:color="auto" w:fill="FFFFFF"/>
        </w:rPr>
        <w:t> </w:t>
      </w:r>
      <w:r w:rsidR="00FB2B06" w:rsidRPr="00863DF8">
        <w:rPr>
          <w:rFonts w:cstheme="minorHAnsi"/>
          <w:shd w:val="clear" w:color="auto" w:fill="FFFFFF"/>
        </w:rPr>
        <w:t>zm.)</w:t>
      </w:r>
      <w:r w:rsidR="00177F0D" w:rsidRPr="00863DF8">
        <w:rPr>
          <w:rFonts w:cstheme="minorHAnsi"/>
          <w:shd w:val="clear" w:color="auto" w:fill="FFFFFF"/>
        </w:rPr>
        <w:t>.</w:t>
      </w:r>
    </w:p>
    <w:p w14:paraId="10275E8A" w14:textId="66600648" w:rsidR="00FB2B06" w:rsidRPr="00863DF8" w:rsidRDefault="00FB2B06" w:rsidP="009B1BD2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§ 4</w:t>
      </w:r>
    </w:p>
    <w:p w14:paraId="0CDDDF30" w14:textId="387F25E2" w:rsidR="001F3BF8" w:rsidRPr="00863DF8" w:rsidRDefault="001F3BF8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Uczestnikami procedury są:</w:t>
      </w:r>
    </w:p>
    <w:p w14:paraId="00DD286C" w14:textId="37D00C12" w:rsidR="001F3BF8" w:rsidRPr="00863DF8" w:rsidRDefault="001F3BF8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1. Urząd Miejski w Gołdapi, Plac Zwycięstwa 14, 19-500 Gołdap, NIP 8470002816,</w:t>
      </w:r>
    </w:p>
    <w:p w14:paraId="436BDCEA" w14:textId="4FD5A2C5" w:rsidR="001F3BF8" w:rsidRPr="00863DF8" w:rsidRDefault="001F3BF8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2. Ośrodek Pomocy Społecznej w Gołdapi, ul</w:t>
      </w:r>
      <w:r w:rsidR="00505FD6" w:rsidRPr="00863DF8">
        <w:rPr>
          <w:rFonts w:cstheme="minorHAnsi"/>
          <w:shd w:val="clear" w:color="auto" w:fill="FFFFFF"/>
        </w:rPr>
        <w:t>. Jaćwieska 9, 19-500 Gołdap, NIP 8471502780,</w:t>
      </w:r>
    </w:p>
    <w:p w14:paraId="51D2525B" w14:textId="6DA6EF4F" w:rsidR="00505FD6" w:rsidRPr="00863DF8" w:rsidRDefault="00505FD6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3. Szkoła Podstawowa nr 1 z Oddziałami Integracyjnymi im. Mikołaja Kopernika w Gołdapi, ul.</w:t>
      </w:r>
      <w:r w:rsidR="00863DF8" w:rsidRPr="00863DF8">
        <w:rPr>
          <w:rFonts w:cstheme="minorHAnsi"/>
          <w:shd w:val="clear" w:color="auto" w:fill="FFFFFF"/>
        </w:rPr>
        <w:t> </w:t>
      </w:r>
      <w:r w:rsidRPr="00863DF8">
        <w:rPr>
          <w:rFonts w:cstheme="minorHAnsi"/>
          <w:shd w:val="clear" w:color="auto" w:fill="FFFFFF"/>
        </w:rPr>
        <w:t>Szkolna 4, 19-500 Gołdap, NIP 8471060425,</w:t>
      </w:r>
    </w:p>
    <w:p w14:paraId="1DAD6299" w14:textId="10C58DE7" w:rsidR="00505FD6" w:rsidRPr="00863DF8" w:rsidRDefault="00505FD6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4. Szkoła Podstawowa nr 2 im. Marszałka Józefa Piłsudskiego w Gołdapi, ul. 1-go Maja 25, 19-500 </w:t>
      </w:r>
      <w:r w:rsidR="004E1654" w:rsidRPr="00863DF8">
        <w:rPr>
          <w:rFonts w:cstheme="minorHAnsi"/>
          <w:shd w:val="clear" w:color="auto" w:fill="FFFFFF"/>
        </w:rPr>
        <w:t>G</w:t>
      </w:r>
      <w:r w:rsidRPr="00863DF8">
        <w:rPr>
          <w:rFonts w:cstheme="minorHAnsi"/>
          <w:shd w:val="clear" w:color="auto" w:fill="FFFFFF"/>
        </w:rPr>
        <w:t xml:space="preserve">ołdap, </w:t>
      </w:r>
      <w:r w:rsidR="004E1654" w:rsidRPr="00863DF8">
        <w:rPr>
          <w:rFonts w:cstheme="minorHAnsi"/>
          <w:shd w:val="clear" w:color="auto" w:fill="FFFFFF"/>
        </w:rPr>
        <w:t>NIP 8471026322</w:t>
      </w:r>
      <w:r w:rsidR="00177F0D" w:rsidRPr="00863DF8">
        <w:rPr>
          <w:rFonts w:cstheme="minorHAnsi"/>
          <w:shd w:val="clear" w:color="auto" w:fill="FFFFFF"/>
        </w:rPr>
        <w:t>,</w:t>
      </w:r>
    </w:p>
    <w:p w14:paraId="19EDE63A" w14:textId="05E19E7A" w:rsidR="004E1654" w:rsidRPr="00863DF8" w:rsidRDefault="004E1654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5. Szkoła Podstawowa nr 3 im. im. Tadeusza Kościuszki w Gołdapi, ul. Kościuszki 25, 19-500 Gołdap, NIP 8471026368</w:t>
      </w:r>
      <w:r w:rsidR="00177F0D" w:rsidRPr="00863DF8">
        <w:rPr>
          <w:rFonts w:cstheme="minorHAnsi"/>
          <w:shd w:val="clear" w:color="auto" w:fill="FFFFFF"/>
        </w:rPr>
        <w:t>,</w:t>
      </w:r>
    </w:p>
    <w:p w14:paraId="540BEB7B" w14:textId="3B8973B4" w:rsidR="004E1654" w:rsidRPr="00863DF8" w:rsidRDefault="004E1654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6. Szkoła Podstawowa nr 5 im. Noblistów Polskich w Gołdapi, </w:t>
      </w:r>
      <w:r w:rsidR="00641F62" w:rsidRPr="00863DF8">
        <w:rPr>
          <w:rFonts w:cstheme="minorHAnsi"/>
          <w:shd w:val="clear" w:color="auto" w:fill="FFFFFF"/>
        </w:rPr>
        <w:t>ul. Kościuszki 30, 19-500 Gołdap, NIP 8471619855</w:t>
      </w:r>
      <w:r w:rsidR="00177F0D" w:rsidRPr="00863DF8">
        <w:rPr>
          <w:rFonts w:cstheme="minorHAnsi"/>
          <w:shd w:val="clear" w:color="auto" w:fill="FFFFFF"/>
        </w:rPr>
        <w:t>,</w:t>
      </w:r>
    </w:p>
    <w:p w14:paraId="340D902A" w14:textId="46E5FE0D" w:rsidR="00641F62" w:rsidRPr="00863DF8" w:rsidRDefault="00641F62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7. Szkoła Podstawowa im. Michała Kajki w Grabowie, Grabowo 54, 19-500 Gołdap, NIP</w:t>
      </w:r>
      <w:r w:rsidR="00863DF8" w:rsidRPr="00863DF8">
        <w:rPr>
          <w:rFonts w:cstheme="minorHAnsi"/>
          <w:shd w:val="clear" w:color="auto" w:fill="FFFFFF"/>
        </w:rPr>
        <w:t> </w:t>
      </w:r>
      <w:r w:rsidRPr="00863DF8">
        <w:rPr>
          <w:rFonts w:cstheme="minorHAnsi"/>
          <w:shd w:val="clear" w:color="auto" w:fill="FFFFFF"/>
        </w:rPr>
        <w:t>8471619909</w:t>
      </w:r>
      <w:r w:rsidR="00177F0D" w:rsidRPr="00863DF8">
        <w:rPr>
          <w:rFonts w:cstheme="minorHAnsi"/>
          <w:shd w:val="clear" w:color="auto" w:fill="FFFFFF"/>
        </w:rPr>
        <w:t>,</w:t>
      </w:r>
    </w:p>
    <w:p w14:paraId="0F2A9361" w14:textId="68D6CDE9" w:rsidR="00641F62" w:rsidRPr="00863DF8" w:rsidRDefault="00641F62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8. Szkoła Podstawowa w Pogorzeli, Pogorzel 27, 19-500 Gołdap, NIP 8471552275</w:t>
      </w:r>
      <w:r w:rsidR="00177F0D" w:rsidRPr="00863DF8">
        <w:rPr>
          <w:rFonts w:cstheme="minorHAnsi"/>
          <w:shd w:val="clear" w:color="auto" w:fill="FFFFFF"/>
        </w:rPr>
        <w:t>,</w:t>
      </w:r>
    </w:p>
    <w:p w14:paraId="3E352E21" w14:textId="13A6650C" w:rsidR="00641F62" w:rsidRPr="00863DF8" w:rsidRDefault="00641F62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9. Przedszkole Samorządowe nr 1 w Gołdapi, ul. Jaćwieska 17, 19-500 Gołdap, NIP </w:t>
      </w:r>
      <w:r w:rsidR="00441BF3" w:rsidRPr="00863DF8">
        <w:rPr>
          <w:rFonts w:cstheme="minorHAnsi"/>
          <w:shd w:val="clear" w:color="auto" w:fill="FFFFFF"/>
        </w:rPr>
        <w:t>8471428291</w:t>
      </w:r>
      <w:r w:rsidR="00177F0D" w:rsidRPr="00863DF8">
        <w:rPr>
          <w:rFonts w:cstheme="minorHAnsi"/>
          <w:shd w:val="clear" w:color="auto" w:fill="FFFFFF"/>
        </w:rPr>
        <w:t>,</w:t>
      </w:r>
    </w:p>
    <w:p w14:paraId="092A50D9" w14:textId="717F4B6F" w:rsidR="00441BF3" w:rsidRPr="00863DF8" w:rsidRDefault="00441BF3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10. Ośrodek Sportu i Rekreacji w Gołdapi, ul. Stadionowa 5A, 19-500 Gołdap, NIP 8470003388</w:t>
      </w:r>
      <w:r w:rsidR="00177F0D" w:rsidRPr="00863DF8">
        <w:rPr>
          <w:rFonts w:cstheme="minorHAnsi"/>
          <w:shd w:val="clear" w:color="auto" w:fill="FFFFFF"/>
        </w:rPr>
        <w:t>,</w:t>
      </w:r>
    </w:p>
    <w:p w14:paraId="250CDC37" w14:textId="3B7DC581" w:rsidR="00441BF3" w:rsidRPr="00863DF8" w:rsidRDefault="00441BF3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11. Środowiskowy Dom Samopomocy „Słoneczny Dom” w Gołdapi, ul. 1-go Maja 21, 19-500 Gołdap, NIP 8471613232</w:t>
      </w:r>
      <w:r w:rsidR="00177F0D" w:rsidRPr="00863DF8">
        <w:rPr>
          <w:rFonts w:cstheme="minorHAnsi"/>
          <w:shd w:val="clear" w:color="auto" w:fill="FFFFFF"/>
        </w:rPr>
        <w:t>.</w:t>
      </w:r>
    </w:p>
    <w:p w14:paraId="0B33DD46" w14:textId="77777777" w:rsidR="003227F5" w:rsidRPr="00863DF8" w:rsidRDefault="003227F5" w:rsidP="009B1BD2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§ 5</w:t>
      </w:r>
    </w:p>
    <w:p w14:paraId="4A1B0FA4" w14:textId="5CE0C8CB" w:rsidR="003227F5" w:rsidRPr="00863DF8" w:rsidRDefault="003227F5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Ustala się następujący zakres </w:t>
      </w:r>
      <w:r w:rsidR="008F0324" w:rsidRPr="00863DF8">
        <w:rPr>
          <w:rFonts w:cstheme="minorHAnsi"/>
          <w:shd w:val="clear" w:color="auto" w:fill="FFFFFF"/>
        </w:rPr>
        <w:t>czynności</w:t>
      </w:r>
      <w:r w:rsidRPr="00863DF8">
        <w:rPr>
          <w:rFonts w:cstheme="minorHAnsi"/>
          <w:shd w:val="clear" w:color="auto" w:fill="FFFFFF"/>
        </w:rPr>
        <w:t xml:space="preserve"> </w:t>
      </w:r>
      <w:r w:rsidR="00116CCB" w:rsidRPr="00863DF8">
        <w:rPr>
          <w:rFonts w:cstheme="minorHAnsi"/>
          <w:shd w:val="clear" w:color="auto" w:fill="FFFFFF"/>
        </w:rPr>
        <w:t xml:space="preserve">i odpowiedzialności </w:t>
      </w:r>
      <w:r w:rsidRPr="00863DF8">
        <w:rPr>
          <w:rFonts w:cstheme="minorHAnsi"/>
          <w:shd w:val="clear" w:color="auto" w:fill="FFFFFF"/>
        </w:rPr>
        <w:t>uczestników procedury:</w:t>
      </w:r>
    </w:p>
    <w:p w14:paraId="732DA106" w14:textId="18546954" w:rsidR="003227F5" w:rsidRPr="00863DF8" w:rsidRDefault="003227F5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1. </w:t>
      </w:r>
      <w:r w:rsidR="00A63E66" w:rsidRPr="00863DF8">
        <w:rPr>
          <w:rFonts w:cstheme="minorHAnsi"/>
          <w:shd w:val="clear" w:color="auto" w:fill="FFFFFF"/>
        </w:rPr>
        <w:t>Czynności wykonywane w j</w:t>
      </w:r>
      <w:r w:rsidRPr="00863DF8">
        <w:rPr>
          <w:rFonts w:cstheme="minorHAnsi"/>
          <w:shd w:val="clear" w:color="auto" w:fill="FFFFFF"/>
        </w:rPr>
        <w:t>ednostk</w:t>
      </w:r>
      <w:r w:rsidR="00A63E66" w:rsidRPr="00863DF8">
        <w:rPr>
          <w:rFonts w:cstheme="minorHAnsi"/>
          <w:shd w:val="clear" w:color="auto" w:fill="FFFFFF"/>
        </w:rPr>
        <w:t>ach</w:t>
      </w:r>
      <w:r w:rsidRPr="00863DF8">
        <w:rPr>
          <w:rFonts w:cstheme="minorHAnsi"/>
          <w:shd w:val="clear" w:color="auto" w:fill="FFFFFF"/>
        </w:rPr>
        <w:t xml:space="preserve"> budżetow</w:t>
      </w:r>
      <w:r w:rsidR="00A63E66" w:rsidRPr="00863DF8">
        <w:rPr>
          <w:rFonts w:cstheme="minorHAnsi"/>
          <w:shd w:val="clear" w:color="auto" w:fill="FFFFFF"/>
        </w:rPr>
        <w:t>ych</w:t>
      </w:r>
      <w:r w:rsidRPr="00863DF8">
        <w:rPr>
          <w:rFonts w:cstheme="minorHAnsi"/>
          <w:shd w:val="clear" w:color="auto" w:fill="FFFFFF"/>
        </w:rPr>
        <w:t>:</w:t>
      </w:r>
    </w:p>
    <w:p w14:paraId="53E54534" w14:textId="6BDA5615" w:rsidR="003227F5" w:rsidRPr="00863DF8" w:rsidRDefault="003227F5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- prowadzeni</w:t>
      </w:r>
      <w:r w:rsidR="00A63E66" w:rsidRPr="00863DF8">
        <w:rPr>
          <w:rFonts w:cstheme="minorHAnsi"/>
          <w:shd w:val="clear" w:color="auto" w:fill="FFFFFF"/>
        </w:rPr>
        <w:t>e</w:t>
      </w:r>
      <w:r w:rsidRPr="00863DF8">
        <w:rPr>
          <w:rFonts w:cstheme="minorHAnsi"/>
          <w:shd w:val="clear" w:color="auto" w:fill="FFFFFF"/>
        </w:rPr>
        <w:t xml:space="preserve"> i przesyłani</w:t>
      </w:r>
      <w:r w:rsidR="00A63E66" w:rsidRPr="00863DF8">
        <w:rPr>
          <w:rFonts w:cstheme="minorHAnsi"/>
          <w:shd w:val="clear" w:color="auto" w:fill="FFFFFF"/>
        </w:rPr>
        <w:t>e</w:t>
      </w:r>
      <w:r w:rsidRPr="00863DF8">
        <w:rPr>
          <w:rFonts w:cstheme="minorHAnsi"/>
          <w:shd w:val="clear" w:color="auto" w:fill="FFFFFF"/>
        </w:rPr>
        <w:t xml:space="preserve"> do Urzędu cząstkowych ewidencji,</w:t>
      </w:r>
    </w:p>
    <w:p w14:paraId="63A253AE" w14:textId="23980DBF" w:rsidR="003227F5" w:rsidRPr="00863DF8" w:rsidRDefault="003227F5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- tworzeni</w:t>
      </w:r>
      <w:r w:rsidR="00A63E66" w:rsidRPr="00863DF8">
        <w:rPr>
          <w:rFonts w:cstheme="minorHAnsi"/>
          <w:shd w:val="clear" w:color="auto" w:fill="FFFFFF"/>
        </w:rPr>
        <w:t>e</w:t>
      </w:r>
      <w:r w:rsidRPr="00863DF8">
        <w:rPr>
          <w:rFonts w:cstheme="minorHAnsi"/>
          <w:shd w:val="clear" w:color="auto" w:fill="FFFFFF"/>
        </w:rPr>
        <w:t xml:space="preserve"> i przesyłani</w:t>
      </w:r>
      <w:r w:rsidR="00A63E66" w:rsidRPr="00863DF8">
        <w:rPr>
          <w:rFonts w:cstheme="minorHAnsi"/>
          <w:shd w:val="clear" w:color="auto" w:fill="FFFFFF"/>
        </w:rPr>
        <w:t>e</w:t>
      </w:r>
      <w:r w:rsidRPr="00863DF8">
        <w:rPr>
          <w:rFonts w:cstheme="minorHAnsi"/>
          <w:shd w:val="clear" w:color="auto" w:fill="FFFFFF"/>
        </w:rPr>
        <w:t xml:space="preserve"> do Urzędu </w:t>
      </w:r>
      <w:r w:rsidR="00CC7F72" w:rsidRPr="00863DF8">
        <w:rPr>
          <w:rFonts w:cstheme="minorHAnsi"/>
          <w:shd w:val="clear" w:color="auto" w:fill="FFFFFF"/>
        </w:rPr>
        <w:t>cząstkowych deklaracji.</w:t>
      </w:r>
    </w:p>
    <w:p w14:paraId="69A928A1" w14:textId="63232D0A" w:rsidR="00CC7F72" w:rsidRPr="00863DF8" w:rsidRDefault="00CC7F72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2. </w:t>
      </w:r>
      <w:r w:rsidR="00A63E66" w:rsidRPr="00863DF8">
        <w:rPr>
          <w:rFonts w:cstheme="minorHAnsi"/>
          <w:shd w:val="clear" w:color="auto" w:fill="FFFFFF"/>
        </w:rPr>
        <w:t xml:space="preserve">Czynności wykonywane w </w:t>
      </w:r>
      <w:r w:rsidRPr="00863DF8">
        <w:rPr>
          <w:rFonts w:cstheme="minorHAnsi"/>
          <w:shd w:val="clear" w:color="auto" w:fill="FFFFFF"/>
        </w:rPr>
        <w:t>Urz</w:t>
      </w:r>
      <w:r w:rsidR="00A63E66" w:rsidRPr="00863DF8">
        <w:rPr>
          <w:rFonts w:cstheme="minorHAnsi"/>
          <w:shd w:val="clear" w:color="auto" w:fill="FFFFFF"/>
        </w:rPr>
        <w:t>ędzie</w:t>
      </w:r>
      <w:r w:rsidRPr="00863DF8">
        <w:rPr>
          <w:rFonts w:cstheme="minorHAnsi"/>
          <w:shd w:val="clear" w:color="auto" w:fill="FFFFFF"/>
        </w:rPr>
        <w:t>:</w:t>
      </w:r>
    </w:p>
    <w:p w14:paraId="41DD6AF9" w14:textId="726B3D3D" w:rsidR="00CC7F72" w:rsidRPr="00863DF8" w:rsidRDefault="00CC7F72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- prowadzeni</w:t>
      </w:r>
      <w:r w:rsidR="00A63E66" w:rsidRPr="00863DF8">
        <w:rPr>
          <w:rFonts w:cstheme="minorHAnsi"/>
          <w:shd w:val="clear" w:color="auto" w:fill="FFFFFF"/>
        </w:rPr>
        <w:t>e</w:t>
      </w:r>
      <w:r w:rsidRPr="00863DF8">
        <w:rPr>
          <w:rFonts w:cstheme="minorHAnsi"/>
          <w:shd w:val="clear" w:color="auto" w:fill="FFFFFF"/>
        </w:rPr>
        <w:t xml:space="preserve"> łącznej ewidencji na podstawie ewidencji cząstkowych,</w:t>
      </w:r>
    </w:p>
    <w:p w14:paraId="5CE5C5C4" w14:textId="79C9D3BE" w:rsidR="00116CCB" w:rsidRPr="00863DF8" w:rsidRDefault="00CC7F72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- tworzeni</w:t>
      </w:r>
      <w:r w:rsidR="00A63E66" w:rsidRPr="00863DF8">
        <w:rPr>
          <w:rFonts w:cstheme="minorHAnsi"/>
          <w:shd w:val="clear" w:color="auto" w:fill="FFFFFF"/>
        </w:rPr>
        <w:t>e</w:t>
      </w:r>
      <w:r w:rsidRPr="00863DF8">
        <w:rPr>
          <w:rFonts w:cstheme="minorHAnsi"/>
          <w:shd w:val="clear" w:color="auto" w:fill="FFFFFF"/>
        </w:rPr>
        <w:t xml:space="preserve"> na podstawie cząstkowych deklaracji i przesyłani</w:t>
      </w:r>
      <w:r w:rsidR="00A63E66" w:rsidRPr="00863DF8">
        <w:rPr>
          <w:rFonts w:cstheme="minorHAnsi"/>
          <w:shd w:val="clear" w:color="auto" w:fill="FFFFFF"/>
        </w:rPr>
        <w:t>e</w:t>
      </w:r>
      <w:r w:rsidRPr="00863DF8">
        <w:rPr>
          <w:rFonts w:cstheme="minorHAnsi"/>
          <w:shd w:val="clear" w:color="auto" w:fill="FFFFFF"/>
        </w:rPr>
        <w:t xml:space="preserve"> do urzędu skarbowego łącznych deklaracji.</w:t>
      </w:r>
    </w:p>
    <w:p w14:paraId="645516A0" w14:textId="77777777" w:rsidR="004240F6" w:rsidRPr="00863DF8" w:rsidRDefault="00116CCB" w:rsidP="00116CCB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3. Kierownik jednostki budżetowej ponosi odpowiedzialność za prawidłowość </w:t>
      </w:r>
      <w:r w:rsidR="008F0324" w:rsidRPr="00863DF8">
        <w:rPr>
          <w:rFonts w:cstheme="minorHAnsi"/>
          <w:shd w:val="clear" w:color="auto" w:fill="FFFFFF"/>
        </w:rPr>
        <w:t>danych wykazanych w </w:t>
      </w:r>
      <w:r w:rsidRPr="00863DF8">
        <w:rPr>
          <w:rFonts w:cstheme="minorHAnsi"/>
          <w:shd w:val="clear" w:color="auto" w:fill="FFFFFF"/>
        </w:rPr>
        <w:t>cząstkowych ewidencj</w:t>
      </w:r>
      <w:r w:rsidR="008F0324" w:rsidRPr="00863DF8">
        <w:rPr>
          <w:rFonts w:cstheme="minorHAnsi"/>
          <w:shd w:val="clear" w:color="auto" w:fill="FFFFFF"/>
        </w:rPr>
        <w:t>ach</w:t>
      </w:r>
      <w:r w:rsidRPr="00863DF8">
        <w:rPr>
          <w:rFonts w:cstheme="minorHAnsi"/>
          <w:shd w:val="clear" w:color="auto" w:fill="FFFFFF"/>
        </w:rPr>
        <w:t xml:space="preserve"> i deklaracj</w:t>
      </w:r>
      <w:r w:rsidR="008F0324" w:rsidRPr="00863DF8">
        <w:rPr>
          <w:rFonts w:cstheme="minorHAnsi"/>
          <w:shd w:val="clear" w:color="auto" w:fill="FFFFFF"/>
        </w:rPr>
        <w:t>ach.</w:t>
      </w:r>
    </w:p>
    <w:p w14:paraId="206BCB7C" w14:textId="7CB0ED84" w:rsidR="004240F6" w:rsidRPr="00863DF8" w:rsidRDefault="00116CCB" w:rsidP="00116CCB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4. Wyznaczeni pracownicy odpowiedzialni są za terminowość </w:t>
      </w:r>
      <w:r w:rsidR="008F0324" w:rsidRPr="00863DF8">
        <w:rPr>
          <w:rFonts w:cstheme="minorHAnsi"/>
          <w:shd w:val="clear" w:color="auto" w:fill="FFFFFF"/>
        </w:rPr>
        <w:t xml:space="preserve">prowadzenia ewidencji oraz </w:t>
      </w:r>
      <w:r w:rsidRPr="00863DF8">
        <w:rPr>
          <w:rFonts w:cstheme="minorHAnsi"/>
          <w:shd w:val="clear" w:color="auto" w:fill="FFFFFF"/>
        </w:rPr>
        <w:t>sporządzania i</w:t>
      </w:r>
      <w:r w:rsidR="008F0324" w:rsidRPr="00863DF8">
        <w:rPr>
          <w:rFonts w:cstheme="minorHAnsi"/>
          <w:shd w:val="clear" w:color="auto" w:fill="FFFFFF"/>
        </w:rPr>
        <w:t> </w:t>
      </w:r>
      <w:r w:rsidRPr="00863DF8">
        <w:rPr>
          <w:rFonts w:cstheme="minorHAnsi"/>
          <w:shd w:val="clear" w:color="auto" w:fill="FFFFFF"/>
        </w:rPr>
        <w:t>przesyłania deklaracji.</w:t>
      </w:r>
    </w:p>
    <w:p w14:paraId="602E8F01" w14:textId="728CFC72" w:rsidR="00116CCB" w:rsidRPr="00863DF8" w:rsidRDefault="00116CCB" w:rsidP="009B1BD2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§ 6</w:t>
      </w:r>
    </w:p>
    <w:p w14:paraId="216FFC4B" w14:textId="36F1997A" w:rsidR="00116CCB" w:rsidRPr="00863DF8" w:rsidRDefault="00116CCB" w:rsidP="00116CCB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lastRenderedPageBreak/>
        <w:t>Ustala się następujące terminy na wykonywanie czynności w ramach niniejszej procedury:</w:t>
      </w:r>
    </w:p>
    <w:p w14:paraId="6D99BEE0" w14:textId="23AD8883" w:rsidR="00116CCB" w:rsidRPr="00863DF8" w:rsidRDefault="00116CCB" w:rsidP="00116CCB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1) Wpisów do cząstkow</w:t>
      </w:r>
      <w:r w:rsidR="00FE166A" w:rsidRPr="00863DF8">
        <w:rPr>
          <w:rFonts w:cstheme="minorHAnsi"/>
          <w:shd w:val="clear" w:color="auto" w:fill="FFFFFF"/>
        </w:rPr>
        <w:t>ych ewidencji dokonuje się 1</w:t>
      </w:r>
      <w:r w:rsidR="008F0324" w:rsidRPr="00863DF8">
        <w:rPr>
          <w:rFonts w:cstheme="minorHAnsi"/>
          <w:shd w:val="clear" w:color="auto" w:fill="FFFFFF"/>
        </w:rPr>
        <w:t>5</w:t>
      </w:r>
      <w:r w:rsidR="00FE166A" w:rsidRPr="00863DF8">
        <w:rPr>
          <w:rFonts w:cstheme="minorHAnsi"/>
          <w:shd w:val="clear" w:color="auto" w:fill="FFFFFF"/>
        </w:rPr>
        <w:t xml:space="preserve"> dnia </w:t>
      </w:r>
      <w:r w:rsidR="007A3680" w:rsidRPr="00863DF8">
        <w:rPr>
          <w:rFonts w:cstheme="minorHAnsi"/>
          <w:shd w:val="clear" w:color="auto" w:fill="FFFFFF"/>
        </w:rPr>
        <w:t>miesiąca następującego po miesiącu, którego wpis dotyczy</w:t>
      </w:r>
      <w:r w:rsidR="00CB7826" w:rsidRPr="00863DF8">
        <w:rPr>
          <w:rFonts w:cstheme="minorHAnsi"/>
          <w:shd w:val="clear" w:color="auto" w:fill="FFFFFF"/>
        </w:rPr>
        <w:t>, a w</w:t>
      </w:r>
      <w:r w:rsidR="00FE166A" w:rsidRPr="00863DF8">
        <w:rPr>
          <w:rFonts w:cstheme="minorHAnsi"/>
          <w:shd w:val="clear" w:color="auto" w:fill="FFFFFF"/>
        </w:rPr>
        <w:t xml:space="preserve"> przypadku gdy dzień ten przypada na dzień wolny od pracy – pierwszego dnia roboczego następującego po tym dniu. W dniu dokonania wpisu </w:t>
      </w:r>
      <w:r w:rsidR="00CB7826" w:rsidRPr="00863DF8">
        <w:rPr>
          <w:rFonts w:cstheme="minorHAnsi"/>
          <w:shd w:val="clear" w:color="auto" w:fill="FFFFFF"/>
        </w:rPr>
        <w:t>ewidencję przekazuje się do Urzędu.</w:t>
      </w:r>
    </w:p>
    <w:p w14:paraId="5041661C" w14:textId="2A802F1A" w:rsidR="00FE166A" w:rsidRPr="00863DF8" w:rsidRDefault="00A63E66" w:rsidP="00116CCB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2</w:t>
      </w:r>
      <w:r w:rsidR="00FE166A" w:rsidRPr="00863DF8">
        <w:rPr>
          <w:rFonts w:cstheme="minorHAnsi"/>
          <w:shd w:val="clear" w:color="auto" w:fill="FFFFFF"/>
        </w:rPr>
        <w:t xml:space="preserve">) Wpisów do łącznej ewidencji dokonuje się niezwłocznie </w:t>
      </w:r>
      <w:r w:rsidR="00E61F71" w:rsidRPr="00863DF8">
        <w:rPr>
          <w:rFonts w:cstheme="minorHAnsi"/>
          <w:shd w:val="clear" w:color="auto" w:fill="FFFFFF"/>
        </w:rPr>
        <w:t xml:space="preserve">po otrzymaniu ewidencji cząstkowych </w:t>
      </w:r>
      <w:r w:rsidR="00FE166A" w:rsidRPr="00863DF8">
        <w:rPr>
          <w:rFonts w:cstheme="minorHAnsi"/>
          <w:shd w:val="clear" w:color="auto" w:fill="FFFFFF"/>
        </w:rPr>
        <w:t xml:space="preserve">– najpóźniej w ciągu 3 dni roboczych po </w:t>
      </w:r>
      <w:r w:rsidR="00E61F71" w:rsidRPr="00863DF8">
        <w:rPr>
          <w:rFonts w:cstheme="minorHAnsi"/>
          <w:shd w:val="clear" w:color="auto" w:fill="FFFFFF"/>
        </w:rPr>
        <w:t>tym dniu</w:t>
      </w:r>
      <w:r w:rsidR="00FE166A" w:rsidRPr="00863DF8">
        <w:rPr>
          <w:rFonts w:cstheme="minorHAnsi"/>
          <w:shd w:val="clear" w:color="auto" w:fill="FFFFFF"/>
        </w:rPr>
        <w:t>.</w:t>
      </w:r>
    </w:p>
    <w:p w14:paraId="4FE0AB2F" w14:textId="7DEAB72E" w:rsidR="000604DC" w:rsidRPr="00863DF8" w:rsidRDefault="00A63E66" w:rsidP="00116CCB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3</w:t>
      </w:r>
      <w:r w:rsidR="00FE166A" w:rsidRPr="00863DF8">
        <w:rPr>
          <w:rFonts w:cstheme="minorHAnsi"/>
          <w:shd w:val="clear" w:color="auto" w:fill="FFFFFF"/>
        </w:rPr>
        <w:t xml:space="preserve">) </w:t>
      </w:r>
      <w:r w:rsidR="000604DC" w:rsidRPr="00863DF8">
        <w:rPr>
          <w:rFonts w:cstheme="minorHAnsi"/>
          <w:shd w:val="clear" w:color="auto" w:fill="FFFFFF"/>
        </w:rPr>
        <w:t>W terminie d</w:t>
      </w:r>
      <w:r w:rsidR="00FE166A" w:rsidRPr="00863DF8">
        <w:rPr>
          <w:rFonts w:cstheme="minorHAnsi"/>
          <w:shd w:val="clear" w:color="auto" w:fill="FFFFFF"/>
        </w:rPr>
        <w:t xml:space="preserve">o 25 dnia </w:t>
      </w:r>
      <w:r w:rsidR="000604DC" w:rsidRPr="00863DF8">
        <w:rPr>
          <w:rFonts w:cstheme="minorHAnsi"/>
          <w:shd w:val="clear" w:color="auto" w:fill="FFFFFF"/>
        </w:rPr>
        <w:t xml:space="preserve">miesiąca następującego po miesiącu, którego ewidencja dotyczy, </w:t>
      </w:r>
      <w:r w:rsidR="00FE166A" w:rsidRPr="00863DF8">
        <w:rPr>
          <w:rFonts w:cstheme="minorHAnsi"/>
          <w:shd w:val="clear" w:color="auto" w:fill="FFFFFF"/>
        </w:rPr>
        <w:t xml:space="preserve">dokonuje się </w:t>
      </w:r>
      <w:r w:rsidR="000604DC" w:rsidRPr="00863DF8">
        <w:rPr>
          <w:rFonts w:cstheme="minorHAnsi"/>
          <w:shd w:val="clear" w:color="auto" w:fill="FFFFFF"/>
        </w:rPr>
        <w:t xml:space="preserve">miesięcznego </w:t>
      </w:r>
      <w:r w:rsidR="00FE166A" w:rsidRPr="00863DF8">
        <w:rPr>
          <w:rFonts w:cstheme="minorHAnsi"/>
          <w:shd w:val="clear" w:color="auto" w:fill="FFFFFF"/>
        </w:rPr>
        <w:t>zamknięcia</w:t>
      </w:r>
      <w:r w:rsidR="000604DC" w:rsidRPr="00863DF8">
        <w:rPr>
          <w:rFonts w:cstheme="minorHAnsi"/>
          <w:shd w:val="clear" w:color="auto" w:fill="FFFFFF"/>
        </w:rPr>
        <w:t xml:space="preserve"> ewidencji łącznej.</w:t>
      </w:r>
    </w:p>
    <w:p w14:paraId="7C46FBA3" w14:textId="1555BDCB" w:rsidR="00FE166A" w:rsidRPr="00863DF8" w:rsidRDefault="00A63E66" w:rsidP="00116CCB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4</w:t>
      </w:r>
      <w:r w:rsidR="000604DC" w:rsidRPr="00863DF8">
        <w:rPr>
          <w:rFonts w:cstheme="minorHAnsi"/>
          <w:shd w:val="clear" w:color="auto" w:fill="FFFFFF"/>
        </w:rPr>
        <w:t>)</w:t>
      </w:r>
      <w:r w:rsidR="00E61F71" w:rsidRPr="00863DF8">
        <w:rPr>
          <w:rFonts w:cstheme="minorHAnsi"/>
          <w:shd w:val="clear" w:color="auto" w:fill="FFFFFF"/>
        </w:rPr>
        <w:t xml:space="preserve"> Deklaracje na podatek akcyzowy sporządza się za okresy kwartalne.</w:t>
      </w:r>
    </w:p>
    <w:p w14:paraId="3708E403" w14:textId="72B50789" w:rsidR="00E61F71" w:rsidRPr="00863DF8" w:rsidRDefault="00A63E66" w:rsidP="00116CCB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5</w:t>
      </w:r>
      <w:r w:rsidR="00E61F71" w:rsidRPr="00863DF8">
        <w:rPr>
          <w:rFonts w:cstheme="minorHAnsi"/>
          <w:shd w:val="clear" w:color="auto" w:fill="FFFFFF"/>
        </w:rPr>
        <w:t xml:space="preserve">) Deklaracje cząstkowe tworzy się i przesyła się do </w:t>
      </w:r>
      <w:r w:rsidR="00CB7826" w:rsidRPr="00863DF8">
        <w:rPr>
          <w:rFonts w:cstheme="minorHAnsi"/>
          <w:shd w:val="clear" w:color="auto" w:fill="FFFFFF"/>
        </w:rPr>
        <w:t xml:space="preserve">Urzędu w </w:t>
      </w:r>
      <w:r w:rsidR="008F0324" w:rsidRPr="00863DF8">
        <w:rPr>
          <w:rFonts w:cstheme="minorHAnsi"/>
          <w:shd w:val="clear" w:color="auto" w:fill="FFFFFF"/>
        </w:rPr>
        <w:t xml:space="preserve">terminie </w:t>
      </w:r>
      <w:r w:rsidR="00E61F71" w:rsidRPr="00863DF8">
        <w:rPr>
          <w:rFonts w:cstheme="minorHAnsi"/>
          <w:shd w:val="clear" w:color="auto" w:fill="FFFFFF"/>
        </w:rPr>
        <w:t>do 15 dnia drugiego miesiąca następującego po kwartale, którego dotyczą.</w:t>
      </w:r>
      <w:r w:rsidR="00CB7826" w:rsidRPr="00863DF8">
        <w:rPr>
          <w:rFonts w:cstheme="minorHAnsi"/>
          <w:shd w:val="clear" w:color="auto" w:fill="FFFFFF"/>
        </w:rPr>
        <w:t xml:space="preserve"> </w:t>
      </w:r>
    </w:p>
    <w:p w14:paraId="45873C58" w14:textId="77E27FD4" w:rsidR="004240F6" w:rsidRPr="00863DF8" w:rsidRDefault="00A63E66" w:rsidP="004240F6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6</w:t>
      </w:r>
      <w:r w:rsidR="004240F6" w:rsidRPr="00863DF8">
        <w:rPr>
          <w:rFonts w:cstheme="minorHAnsi"/>
          <w:shd w:val="clear" w:color="auto" w:fill="FFFFFF"/>
        </w:rPr>
        <w:t xml:space="preserve">) Ewidencje oraz deklaracje cząstkowe </w:t>
      </w:r>
      <w:r w:rsidR="00863DF8">
        <w:rPr>
          <w:rFonts w:cstheme="minorHAnsi"/>
          <w:shd w:val="clear" w:color="auto" w:fill="FFFFFF"/>
        </w:rPr>
        <w:t xml:space="preserve">podpisane przez kierownika jednostki </w:t>
      </w:r>
      <w:r w:rsidR="004240F6" w:rsidRPr="00863DF8">
        <w:rPr>
          <w:rFonts w:cstheme="minorHAnsi"/>
          <w:shd w:val="clear" w:color="auto" w:fill="FFFFFF"/>
        </w:rPr>
        <w:t xml:space="preserve">przesyła się do Urzędu w formie </w:t>
      </w:r>
      <w:r w:rsidR="00863DF8">
        <w:rPr>
          <w:rFonts w:cstheme="minorHAnsi"/>
          <w:shd w:val="clear" w:color="auto" w:fill="FFFFFF"/>
        </w:rPr>
        <w:t>pliku pdf</w:t>
      </w:r>
      <w:r w:rsidR="004240F6" w:rsidRPr="00863DF8">
        <w:rPr>
          <w:rFonts w:cstheme="minorHAnsi"/>
          <w:shd w:val="clear" w:color="auto" w:fill="FFFFFF"/>
        </w:rPr>
        <w:t>, jako załącznik do wiadomości e-mail</w:t>
      </w:r>
      <w:r w:rsidR="00863DF8">
        <w:rPr>
          <w:rFonts w:cstheme="minorHAnsi"/>
          <w:shd w:val="clear" w:color="auto" w:fill="FFFFFF"/>
        </w:rPr>
        <w:t xml:space="preserve"> na adres: joanna.surwillo@goldap.pl.</w:t>
      </w:r>
    </w:p>
    <w:p w14:paraId="5EC52F31" w14:textId="61F775E9" w:rsidR="00E61F71" w:rsidRPr="00863DF8" w:rsidRDefault="00A63E66" w:rsidP="00116CCB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7</w:t>
      </w:r>
      <w:r w:rsidR="00E61F71" w:rsidRPr="00863DF8">
        <w:rPr>
          <w:rFonts w:cstheme="minorHAnsi"/>
          <w:shd w:val="clear" w:color="auto" w:fill="FFFFFF"/>
        </w:rPr>
        <w:t xml:space="preserve">) Deklaracje łączne tworzy się i przesyła do urzędu skarbowego </w:t>
      </w:r>
      <w:r w:rsidR="008F0324" w:rsidRPr="00863DF8">
        <w:rPr>
          <w:rFonts w:cstheme="minorHAnsi"/>
          <w:shd w:val="clear" w:color="auto" w:fill="FFFFFF"/>
        </w:rPr>
        <w:t xml:space="preserve">w terminie do 25 dnia drugiego miesiąca następującego po kwartale, którego dotyczą. </w:t>
      </w:r>
    </w:p>
    <w:p w14:paraId="47A09F16" w14:textId="1C56B097" w:rsidR="00CC7F72" w:rsidRPr="00863DF8" w:rsidRDefault="00CC7F72" w:rsidP="009B1BD2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§ </w:t>
      </w:r>
      <w:r w:rsidR="00116CCB" w:rsidRPr="00863DF8">
        <w:rPr>
          <w:rFonts w:cstheme="minorHAnsi"/>
          <w:shd w:val="clear" w:color="auto" w:fill="FFFFFF"/>
        </w:rPr>
        <w:t>7</w:t>
      </w:r>
    </w:p>
    <w:p w14:paraId="17CE04A6" w14:textId="77777777" w:rsidR="00177F0D" w:rsidRPr="00863DF8" w:rsidRDefault="001C00A5" w:rsidP="00177F0D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Ewidencję prowadzi się na podstawie wskazań urządzeń pomiarowo-rozliczeniowych, a w przypadku braku urządzeń pomiarowych – na podstawie </w:t>
      </w:r>
      <w:r w:rsidR="00177F0D" w:rsidRPr="00863DF8">
        <w:rPr>
          <w:rFonts w:cstheme="minorHAnsi"/>
          <w:shd w:val="clear" w:color="auto" w:fill="FFFFFF"/>
        </w:rPr>
        <w:t>współczynnikowo określonego poboru energii przez poszczególne urządzenia, wskazanego  w prowadzonej dokumentacji</w:t>
      </w:r>
      <w:r w:rsidRPr="00863DF8">
        <w:rPr>
          <w:rFonts w:cstheme="minorHAnsi"/>
          <w:shd w:val="clear" w:color="auto" w:fill="FFFFFF"/>
        </w:rPr>
        <w:t xml:space="preserve">. </w:t>
      </w:r>
    </w:p>
    <w:p w14:paraId="5CCD1AB7" w14:textId="243CDDBC" w:rsidR="00177F0D" w:rsidRPr="00863DF8" w:rsidRDefault="00177F0D" w:rsidP="00177F0D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§ 8</w:t>
      </w:r>
    </w:p>
    <w:p w14:paraId="6D48B933" w14:textId="77777777" w:rsidR="00177F0D" w:rsidRPr="00863DF8" w:rsidRDefault="00177F0D" w:rsidP="00177F0D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Wzór ewidencji zawiera załącznik do niniejszej procedury.</w:t>
      </w:r>
    </w:p>
    <w:p w14:paraId="10143124" w14:textId="55798744" w:rsidR="00973AF0" w:rsidRPr="00863DF8" w:rsidRDefault="00973AF0" w:rsidP="00973AF0">
      <w:pPr>
        <w:spacing w:after="0" w:line="360" w:lineRule="auto"/>
        <w:jc w:val="center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 xml:space="preserve">§ </w:t>
      </w:r>
      <w:r w:rsidR="00177F0D" w:rsidRPr="00863DF8">
        <w:rPr>
          <w:rFonts w:cstheme="minorHAnsi"/>
          <w:shd w:val="clear" w:color="auto" w:fill="FFFFFF"/>
        </w:rPr>
        <w:t>9</w:t>
      </w:r>
    </w:p>
    <w:p w14:paraId="2C233521" w14:textId="0C6599BC" w:rsidR="003227F5" w:rsidRPr="00863DF8" w:rsidRDefault="00973AF0" w:rsidP="00505489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863DF8">
        <w:rPr>
          <w:rFonts w:cstheme="minorHAnsi"/>
          <w:shd w:val="clear" w:color="auto" w:fill="FFFFFF"/>
        </w:rPr>
        <w:t>Wzór deklaracji określa Rozporządzenie Ministra Finansów z dnia 17 grudnia 2021 r. w sprawie wzorów deklaracji podatkowych w sprawie podatku akcyzowego oraz deklaracji w sprawie przedpłaty podatku akcyzowego</w:t>
      </w:r>
      <w:r w:rsidR="00CB7826" w:rsidRPr="00863DF8">
        <w:rPr>
          <w:rFonts w:cstheme="minorHAnsi"/>
          <w:shd w:val="clear" w:color="auto" w:fill="FFFFFF"/>
        </w:rPr>
        <w:t>.</w:t>
      </w:r>
    </w:p>
    <w:p w14:paraId="1939DD37" w14:textId="77777777" w:rsidR="00505489" w:rsidRPr="00863DF8" w:rsidRDefault="00505489" w:rsidP="00505489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5DC4634E" w14:textId="7C5CC91B" w:rsidR="00505489" w:rsidRPr="00863DF8" w:rsidRDefault="00505489" w:rsidP="00505489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69082485" w14:textId="77777777" w:rsidR="00A95418" w:rsidRPr="00863DF8" w:rsidRDefault="00A95418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10F3FF70" w14:textId="77777777" w:rsidR="00FB2B06" w:rsidRPr="00863DF8" w:rsidRDefault="00FB2B06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57C5759B" w14:textId="77777777" w:rsidR="00300E06" w:rsidRPr="00863DF8" w:rsidRDefault="00300E06" w:rsidP="00505FD6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sectPr w:rsidR="00300E06" w:rsidRPr="0086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E33F5"/>
    <w:multiLevelType w:val="hybridMultilevel"/>
    <w:tmpl w:val="316C4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1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0E"/>
    <w:rsid w:val="000362FA"/>
    <w:rsid w:val="000457B7"/>
    <w:rsid w:val="0005515A"/>
    <w:rsid w:val="000604DC"/>
    <w:rsid w:val="00116CCB"/>
    <w:rsid w:val="00177F0D"/>
    <w:rsid w:val="001C00A5"/>
    <w:rsid w:val="001D5EF5"/>
    <w:rsid w:val="001F3BF8"/>
    <w:rsid w:val="001F74EB"/>
    <w:rsid w:val="002920D5"/>
    <w:rsid w:val="002A28DC"/>
    <w:rsid w:val="002E26AE"/>
    <w:rsid w:val="00300E06"/>
    <w:rsid w:val="003227F5"/>
    <w:rsid w:val="004240F6"/>
    <w:rsid w:val="00441BF3"/>
    <w:rsid w:val="00487CC6"/>
    <w:rsid w:val="004E1654"/>
    <w:rsid w:val="00505489"/>
    <w:rsid w:val="00505FD6"/>
    <w:rsid w:val="00641F62"/>
    <w:rsid w:val="007A3680"/>
    <w:rsid w:val="007C660E"/>
    <w:rsid w:val="00863DF8"/>
    <w:rsid w:val="008F0324"/>
    <w:rsid w:val="00943039"/>
    <w:rsid w:val="009559D9"/>
    <w:rsid w:val="00973AF0"/>
    <w:rsid w:val="009A39D8"/>
    <w:rsid w:val="009B1BD2"/>
    <w:rsid w:val="009C2706"/>
    <w:rsid w:val="00A63E66"/>
    <w:rsid w:val="00A95418"/>
    <w:rsid w:val="00BC796E"/>
    <w:rsid w:val="00BD421F"/>
    <w:rsid w:val="00C15401"/>
    <w:rsid w:val="00CB7826"/>
    <w:rsid w:val="00CC7F72"/>
    <w:rsid w:val="00D92B0F"/>
    <w:rsid w:val="00E61F71"/>
    <w:rsid w:val="00F43B95"/>
    <w:rsid w:val="00F80082"/>
    <w:rsid w:val="00FB2B06"/>
    <w:rsid w:val="00FE0AAA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F66D"/>
  <w15:chartTrackingRefBased/>
  <w15:docId w15:val="{57DAC9B4-7D6A-4776-911E-746ACB29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joanna.surwillo</dc:creator>
  <cp:keywords/>
  <dc:description/>
  <cp:lastModifiedBy>joanna.surwillo</cp:lastModifiedBy>
  <cp:revision>12</cp:revision>
  <cp:lastPrinted>2022-11-24T10:21:00Z</cp:lastPrinted>
  <dcterms:created xsi:type="dcterms:W3CDTF">2022-11-17T11:25:00Z</dcterms:created>
  <dcterms:modified xsi:type="dcterms:W3CDTF">2022-11-24T10:25:00Z</dcterms:modified>
</cp:coreProperties>
</file>