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A3B1EF" w14:textId="0EBB8367" w:rsidR="003F6E91" w:rsidRPr="00C672BE" w:rsidRDefault="003F6E91" w:rsidP="00987233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Zarządzenie Nr</w:t>
      </w:r>
      <w:r w:rsidR="009B4F36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1655</w:t>
      </w:r>
      <w:r w:rsidR="001F54F8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</w:t>
      </w:r>
      <w:r w:rsidR="009B4F36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IX</w:t>
      </w:r>
      <w:r w:rsidR="001F54F8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>/202</w:t>
      </w:r>
      <w:r w:rsidR="00705A7E"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  <w:t xml:space="preserve">2 </w:t>
      </w:r>
    </w:p>
    <w:p w14:paraId="3EEDF7F7" w14:textId="77777777" w:rsidR="003F6E91" w:rsidRPr="00C672BE" w:rsidRDefault="003F6E91" w:rsidP="003F6E91">
      <w:pPr>
        <w:keepNext/>
        <w:numPr>
          <w:ilvl w:val="0"/>
          <w:numId w:val="1"/>
        </w:numPr>
        <w:tabs>
          <w:tab w:val="left" w:pos="0"/>
        </w:tabs>
        <w:suppressAutoHyphens/>
        <w:spacing w:after="0" w:line="360" w:lineRule="auto"/>
        <w:jc w:val="center"/>
        <w:outlineLvl w:val="0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Burmistrza Gołdapi</w:t>
      </w:r>
    </w:p>
    <w:p w14:paraId="4A4E85E9" w14:textId="0859BC5D" w:rsidR="003F6E91" w:rsidRPr="00C672BE" w:rsidRDefault="00705A7E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    </w:t>
      </w:r>
      <w:r w:rsidR="003F6E91" w:rsidRPr="00A767E3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z dnia</w:t>
      </w:r>
      <w:r w:rsidR="009B4F36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14 września</w:t>
      </w:r>
      <w:r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</w:t>
      </w:r>
      <w:r w:rsidR="001F54F8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202</w:t>
      </w:r>
      <w:r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2</w:t>
      </w:r>
      <w:r w:rsidR="001F54F8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roku</w:t>
      </w:r>
    </w:p>
    <w:p w14:paraId="41742AEA" w14:textId="1850D12F" w:rsidR="003F6E91" w:rsidRPr="00C672BE" w:rsidRDefault="003F6E91" w:rsidP="008C2A5D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bCs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sprawie ogłoszenia przetar</w:t>
      </w:r>
      <w:r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gów na d</w:t>
      </w:r>
      <w:r w:rsidR="008C2A5D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zierżawę miejsc handlowych przy cmentarzu przy ul.</w:t>
      </w:r>
      <w:r w:rsidR="00BA7154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 </w:t>
      </w:r>
      <w:r w:rsidR="008C2A5D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Zadumy w Gołdapi oraz </w:t>
      </w:r>
      <w:r w:rsidR="00BA7154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cmentarzu </w:t>
      </w:r>
      <w:r w:rsidR="008C2A5D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>w Grabowie</w:t>
      </w:r>
    </w:p>
    <w:p w14:paraId="209F22BC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140443F7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02B02104" w14:textId="77777777" w:rsidR="003F6E91" w:rsidRPr="00C672BE" w:rsidRDefault="003F6E91" w:rsidP="003F6E91">
      <w:pPr>
        <w:suppressAutoHyphens/>
        <w:spacing w:after="0" w:line="240" w:lineRule="auto"/>
        <w:jc w:val="center"/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</w:pPr>
    </w:p>
    <w:p w14:paraId="39EF5877" w14:textId="787EB699" w:rsidR="003F6E91" w:rsidRPr="00C672BE" w:rsidRDefault="003F6E91" w:rsidP="003F6E91">
      <w:pPr>
        <w:suppressAutoHyphens/>
        <w:spacing w:after="0" w:line="240" w:lineRule="auto"/>
        <w:ind w:firstLine="708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Na podstawie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13 ust. 1 i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25 ust. 1, art.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37 ust.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4  ustawy z dnia 21 sierpnia 1997 roku o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gospodarce nieruchomościami </w:t>
      </w: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(</w:t>
      </w:r>
      <w:proofErr w:type="spellStart"/>
      <w:r w:rsidR="007A0AE1">
        <w:t>t.j</w:t>
      </w:r>
      <w:proofErr w:type="spellEnd"/>
      <w:r w:rsidR="007A0AE1">
        <w:t xml:space="preserve">. Dz. U. z 2021 r. poz. 1899 z </w:t>
      </w:r>
      <w:proofErr w:type="spellStart"/>
      <w:r w:rsidR="007A0AE1">
        <w:t>późn</w:t>
      </w:r>
      <w:proofErr w:type="spellEnd"/>
      <w:r w:rsidR="007A0AE1">
        <w:t>. zm.</w:t>
      </w: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)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zarządza się co następuje:</w:t>
      </w:r>
    </w:p>
    <w:p w14:paraId="2E21A80C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C38A488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1.</w:t>
      </w:r>
    </w:p>
    <w:p w14:paraId="040CDCE3" w14:textId="2E49612D" w:rsid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3F6E9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Ogłosić ustny przetarg nieograniczony na </w:t>
      </w:r>
      <w:r w:rsidR="008C2A5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wydzierżawienie na okres sześciu dni tj. od dnia 28 października 202</w:t>
      </w:r>
      <w:r w:rsidR="00062E27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</w:t>
      </w:r>
      <w:r w:rsidR="008C2A5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roku do 2 listopada 202</w:t>
      </w:r>
      <w:r w:rsidR="00062E27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2</w:t>
      </w:r>
      <w:r w:rsidR="008C2A5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roku, nieruchomości gruntowych stanowiących własność Gminy Gołdap, położonych przy:</w:t>
      </w:r>
    </w:p>
    <w:p w14:paraId="14A86AE3" w14:textId="7CC98C77" w:rsidR="00F2008F" w:rsidRDefault="00F2008F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ul. Zadumy przy cmentarzu (obręb Bałupiany, część działki nr 226/8), z przeznaczeniem pod </w:t>
      </w:r>
      <w:r w:rsidR="007454A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4 okolicznościowe sto</w:t>
      </w:r>
      <w:r w:rsidR="007955EA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is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ka handlowe o powierzchni 10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każde</w:t>
      </w:r>
    </w:p>
    <w:p w14:paraId="316CCDBB" w14:textId="61F06E4C" w:rsidR="00987233" w:rsidRDefault="00987233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parking przy ul.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Gumbińskiej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(obręb Bałupiany, część działki nr 224/</w:t>
      </w:r>
      <w:r w:rsidR="007454A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184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), z przeznaczeniem pod 2 okolicznościowe stoiska handlowe o powierzchni 10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każde</w:t>
      </w:r>
    </w:p>
    <w:p w14:paraId="40DF5B75" w14:textId="1C12F99E" w:rsidR="00F2008F" w:rsidRDefault="00F2008F" w:rsidP="00F2008F">
      <w:pPr>
        <w:pStyle w:val="Akapitzlist"/>
        <w:numPr>
          <w:ilvl w:val="0"/>
          <w:numId w:val="4"/>
        </w:num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przy cmentarzu w Grabowie (obręb Grabowo, część działki nr 65/2), z przeznaczeniem pod </w:t>
      </w:r>
      <w:r w:rsidR="007454A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1 okolicznościowe stoisko handlowe o powierzchni 10 m</w:t>
      </w:r>
      <w:r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>2</w:t>
      </w:r>
      <w:r w:rsidR="004D3E5E">
        <w:rPr>
          <w:rFonts w:ascii="Arial" w:eastAsia="Times New Roman" w:hAnsi="Arial" w:cs="Times New Roman"/>
          <w:kern w:val="2"/>
          <w:sz w:val="20"/>
          <w:szCs w:val="20"/>
          <w:vertAlign w:val="superscript"/>
          <w:lang w:eastAsia="pl-PL"/>
        </w:rPr>
        <w:t xml:space="preserve">.   </w:t>
      </w:r>
    </w:p>
    <w:p w14:paraId="5FBF30F8" w14:textId="0FE7964F" w:rsidR="008C2A5D" w:rsidRPr="008C2A5D" w:rsidRDefault="008C2A5D" w:rsidP="008C2A5D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58C7A124" w14:textId="236714E2" w:rsidR="003F6E91" w:rsidRPr="003F6E91" w:rsidRDefault="003F6E91" w:rsidP="003F6E91">
      <w:pPr>
        <w:pStyle w:val="Akapitzlist"/>
        <w:numPr>
          <w:ilvl w:val="0"/>
          <w:numId w:val="3"/>
        </w:numPr>
        <w:suppressAutoHyphens/>
        <w:spacing w:after="0" w:line="240" w:lineRule="auto"/>
        <w:ind w:left="284" w:hanging="284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Ustalić cenę wywoławczą czynszu dzierżawnego w wysokości </w:t>
      </w:r>
      <w:r w:rsidR="00DB67BD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56,68</w:t>
      </w:r>
      <w:r w:rsidR="00B80B31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zł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/dobę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+ podatek VAT </w:t>
      </w:r>
      <w:r w:rsidR="004D3E5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 wysokości 23%.</w:t>
      </w:r>
    </w:p>
    <w:p w14:paraId="7C829E05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</w:t>
      </w:r>
    </w:p>
    <w:p w14:paraId="39F51071" w14:textId="77777777" w:rsidR="003F6E91" w:rsidRPr="00C672BE" w:rsidRDefault="003F6E91" w:rsidP="003F6E91">
      <w:pPr>
        <w:tabs>
          <w:tab w:val="left" w:pos="720"/>
        </w:tabs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2.</w:t>
      </w:r>
    </w:p>
    <w:p w14:paraId="51D0E9C4" w14:textId="3BDB2336" w:rsidR="00A909E6" w:rsidRPr="00BB57A9" w:rsidRDefault="003F6E91" w:rsidP="00A909E6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Arial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Przetarg przeprowadzić z odpowiednim zastosowaniem przepisów rozporządzenia Rady Ministrów z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dnia 14 września 2004r., w sprawie sposobu i trybu przeprowadzania przetargów oraz rokowań na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 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zbycie nieruchomości </w:t>
      </w:r>
      <w:r w:rsidR="00A909E6" w:rsidRPr="00BB57A9">
        <w:rPr>
          <w:rFonts w:ascii="Arial" w:eastAsia="Times New Roman" w:hAnsi="Arial" w:cs="Arial"/>
          <w:kern w:val="2"/>
          <w:sz w:val="20"/>
          <w:szCs w:val="20"/>
        </w:rPr>
        <w:t>(Dz.U z 2021r., poz.2213)</w:t>
      </w:r>
      <w:r w:rsidR="00A909E6">
        <w:rPr>
          <w:rFonts w:ascii="Arial" w:eastAsia="Times New Roman" w:hAnsi="Arial" w:cs="Arial"/>
          <w:kern w:val="2"/>
          <w:sz w:val="20"/>
          <w:szCs w:val="20"/>
          <w:lang w:eastAsia="pl-PL"/>
        </w:rPr>
        <w:t>.</w:t>
      </w:r>
    </w:p>
    <w:p w14:paraId="098484D0" w14:textId="56A4F891" w:rsidR="003F6E91" w:rsidRPr="00C672BE" w:rsidRDefault="003F6E91" w:rsidP="003F6E91">
      <w:pPr>
        <w:tabs>
          <w:tab w:val="left" w:pos="720"/>
        </w:tabs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BE7D729" w14:textId="77777777" w:rsidR="003F6E91" w:rsidRPr="00C672BE" w:rsidRDefault="003F6E91" w:rsidP="003F6E91">
      <w:pPr>
        <w:suppressAutoHyphens/>
        <w:spacing w:after="0" w:line="2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8361131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3.</w:t>
      </w:r>
    </w:p>
    <w:p w14:paraId="5D3E61B6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Powołać komisję przetargową w składzie:</w:t>
      </w:r>
    </w:p>
    <w:p w14:paraId="3D3765F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1.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Beata Kołakowska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przewodniczący</w:t>
      </w:r>
    </w:p>
    <w:p w14:paraId="114EE529" w14:textId="3039F47D" w:rsidR="003F6E91" w:rsidRPr="00C672BE" w:rsidRDefault="003F6E91" w:rsidP="003F6E91">
      <w:pPr>
        <w:suppressAutoHyphens/>
        <w:spacing w:after="0" w:line="240" w:lineRule="auto"/>
        <w:ind w:left="30" w:hanging="15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2.  </w:t>
      </w:r>
      <w:r w:rsidR="00A909E6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Olga </w:t>
      </w:r>
      <w:r w:rsidR="00B071C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S</w:t>
      </w:r>
      <w:r w:rsidR="00A909E6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adowska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zastępca przewodniczącego</w:t>
      </w:r>
    </w:p>
    <w:p w14:paraId="1ABA0D1F" w14:textId="1097F3CC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3.  </w:t>
      </w:r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Karolina </w:t>
      </w:r>
      <w:proofErr w:type="spellStart"/>
      <w:r w:rsidR="00BA7154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Burba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6E960CB7" w14:textId="7B9909C0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4.  </w:t>
      </w:r>
      <w:r w:rsidR="00B071C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Joanna Olszewska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D72BA00" w14:textId="0939A6E2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5.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</w:t>
      </w:r>
      <w:r w:rsidR="00B071C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Anita </w:t>
      </w:r>
      <w:proofErr w:type="spellStart"/>
      <w:r w:rsidR="00B071C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Germaniuk</w:t>
      </w:r>
      <w:proofErr w:type="spellEnd"/>
      <w:r w:rsidR="00B071C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 w:rsidR="00B071C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-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członek</w:t>
      </w:r>
    </w:p>
    <w:p w14:paraId="05564CAC" w14:textId="3DC8BCFC" w:rsidR="003F6E91" w:rsidRPr="00C672BE" w:rsidRDefault="00A464A7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6.  Renata </w:t>
      </w:r>
      <w:proofErr w:type="spellStart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Sojkowska</w:t>
      </w:r>
      <w:proofErr w:type="spellEnd"/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ab/>
        <w:t>- członek</w:t>
      </w:r>
    </w:p>
    <w:p w14:paraId="5AC81E93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A49E12B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§ 4.</w:t>
      </w:r>
    </w:p>
    <w:p w14:paraId="0F4FFA74" w14:textId="77777777" w:rsidR="003F6E91" w:rsidRPr="00C672BE" w:rsidRDefault="003F6E91" w:rsidP="003F6E91">
      <w:pPr>
        <w:suppressAutoHyphens/>
        <w:spacing w:after="0" w:line="240" w:lineRule="auto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0A47E0BA" w14:textId="116757E3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Do prawidłowego przeprowadzenia przetargu niezbędna jest obecność co najmniej trzech członków ww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komisji w tym przewodniczącego lub jego zastępcy</w:t>
      </w:r>
      <w:r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.</w:t>
      </w:r>
    </w:p>
    <w:p w14:paraId="0284F5F9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41DCFFFD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5.</w:t>
      </w:r>
    </w:p>
    <w:p w14:paraId="56555F08" w14:textId="77777777" w:rsidR="003F6E91" w:rsidRPr="00C672BE" w:rsidRDefault="003F6E91" w:rsidP="003F6E91">
      <w:pPr>
        <w:suppressAutoHyphens/>
        <w:spacing w:after="0" w:line="24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Wykonanie zarządzenia powierza się Kierownikowi Wydziału Gospodarki Przestrzennej, Ochrony Środowiska i Nieruchomości.</w:t>
      </w:r>
    </w:p>
    <w:p w14:paraId="242BA9BF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3A1BD72F" w14:textId="77777777" w:rsidR="003F6E91" w:rsidRPr="00C672BE" w:rsidRDefault="003F6E91" w:rsidP="003F6E91">
      <w:pPr>
        <w:suppressAutoHyphens/>
        <w:spacing w:after="0" w:line="360" w:lineRule="auto"/>
        <w:jc w:val="center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§ 6.</w:t>
      </w:r>
    </w:p>
    <w:p w14:paraId="591AF4E6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Zarządzenie wchodzi w życie z dniem podjęcia.</w:t>
      </w:r>
    </w:p>
    <w:p w14:paraId="7A31F8B0" w14:textId="77777777" w:rsidR="003F6E91" w:rsidRPr="00C672BE" w:rsidRDefault="003F6E91" w:rsidP="003F6E91">
      <w:pPr>
        <w:suppressAutoHyphens/>
        <w:spacing w:after="0" w:line="360" w:lineRule="auto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</w:p>
    <w:p w14:paraId="6A1E6FAC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b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>Burmistrz  Gołdapi</w:t>
      </w:r>
    </w:p>
    <w:p w14:paraId="2CAEFD84" w14:textId="77777777" w:rsidR="003F6E91" w:rsidRPr="00C672BE" w:rsidRDefault="003F6E91" w:rsidP="003F6E91">
      <w:pPr>
        <w:suppressAutoHyphens/>
        <w:spacing w:after="0" w:line="100" w:lineRule="atLeast"/>
        <w:jc w:val="both"/>
        <w:rPr>
          <w:rFonts w:ascii="Times New Roman" w:eastAsia="Times New Roman" w:hAnsi="Times New Roman" w:cs="Times New Roman"/>
          <w:kern w:val="2"/>
          <w:sz w:val="24"/>
          <w:szCs w:val="20"/>
          <w:lang w:eastAsia="pl-PL"/>
        </w:rPr>
      </w:pPr>
    </w:p>
    <w:p w14:paraId="21C1B81F" w14:textId="655D5BE8" w:rsidR="003F6E91" w:rsidRPr="00C672BE" w:rsidRDefault="003F6E91" w:rsidP="003F6E91">
      <w:pPr>
        <w:suppressAutoHyphens/>
        <w:spacing w:after="0" w:line="100" w:lineRule="atLeast"/>
        <w:jc w:val="both"/>
        <w:rPr>
          <w:rFonts w:ascii="Arial" w:eastAsia="Times New Roman" w:hAnsi="Arial" w:cs="Times New Roman"/>
          <w:kern w:val="2"/>
          <w:sz w:val="20"/>
          <w:szCs w:val="20"/>
          <w:lang w:eastAsia="pl-PL"/>
        </w:rPr>
      </w:pP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                                                                                                                Tomasz </w:t>
      </w:r>
      <w:r w:rsidR="00B071C8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Rafał </w:t>
      </w:r>
      <w:r w:rsidRPr="00C672BE">
        <w:rPr>
          <w:rFonts w:ascii="Arial" w:eastAsia="Times New Roman" w:hAnsi="Arial" w:cs="Times New Roman"/>
          <w:kern w:val="2"/>
          <w:sz w:val="20"/>
          <w:szCs w:val="20"/>
          <w:lang w:eastAsia="pl-PL"/>
        </w:rPr>
        <w:t xml:space="preserve">Luto                     </w:t>
      </w:r>
    </w:p>
    <w:sectPr w:rsidR="003F6E91" w:rsidRPr="00C672BE" w:rsidSect="00987233">
      <w:pgSz w:w="11906" w:h="16838"/>
      <w:pgMar w:top="1135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5E07385"/>
    <w:multiLevelType w:val="hybridMultilevel"/>
    <w:tmpl w:val="6D70D6F8"/>
    <w:lvl w:ilvl="0" w:tplc="6B2A9A72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C4341"/>
    <w:multiLevelType w:val="hybridMultilevel"/>
    <w:tmpl w:val="66C28D54"/>
    <w:lvl w:ilvl="0" w:tplc="9C3C15BE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5B924384"/>
    <w:multiLevelType w:val="hybridMultilevel"/>
    <w:tmpl w:val="198C91D0"/>
    <w:lvl w:ilvl="0" w:tplc="477854A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8195854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0442268">
    <w:abstractNumId w:val="3"/>
  </w:num>
  <w:num w:numId="3" w16cid:durableId="34740815">
    <w:abstractNumId w:val="1"/>
  </w:num>
  <w:num w:numId="4" w16cid:durableId="9614993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2DD9"/>
    <w:rsid w:val="00033B09"/>
    <w:rsid w:val="00062E27"/>
    <w:rsid w:val="000B0A02"/>
    <w:rsid w:val="001F54F8"/>
    <w:rsid w:val="002F1778"/>
    <w:rsid w:val="003F6E91"/>
    <w:rsid w:val="0049505E"/>
    <w:rsid w:val="004D3E5E"/>
    <w:rsid w:val="00592B55"/>
    <w:rsid w:val="00705A7E"/>
    <w:rsid w:val="007454AD"/>
    <w:rsid w:val="007955EA"/>
    <w:rsid w:val="007A0AE1"/>
    <w:rsid w:val="008C2A5D"/>
    <w:rsid w:val="00987233"/>
    <w:rsid w:val="009B4F36"/>
    <w:rsid w:val="00A464A7"/>
    <w:rsid w:val="00A909E6"/>
    <w:rsid w:val="00B071C8"/>
    <w:rsid w:val="00B80B31"/>
    <w:rsid w:val="00BA7154"/>
    <w:rsid w:val="00C33B62"/>
    <w:rsid w:val="00C56458"/>
    <w:rsid w:val="00D52DD9"/>
    <w:rsid w:val="00D869B3"/>
    <w:rsid w:val="00DB2B84"/>
    <w:rsid w:val="00DB67BD"/>
    <w:rsid w:val="00EC244F"/>
    <w:rsid w:val="00ED0AC8"/>
    <w:rsid w:val="00F2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908B8"/>
  <w15:chartTrackingRefBased/>
  <w15:docId w15:val="{E6000ACC-3033-4B59-BD41-9061FAE37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F6E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F6E91"/>
    <w:pPr>
      <w:ind w:left="720"/>
      <w:contextualSpacing/>
    </w:pPr>
  </w:style>
  <w:style w:type="table" w:styleId="Tabela-Siatka">
    <w:name w:val="Table Grid"/>
    <w:basedOn w:val="Standardowy"/>
    <w:uiPriority w:val="39"/>
    <w:rsid w:val="00C33B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364</Words>
  <Characters>2186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magda.kuliś</dc:creator>
  <cp:keywords/>
  <dc:description/>
  <cp:lastModifiedBy>Olga Sadowska</cp:lastModifiedBy>
  <cp:revision>4</cp:revision>
  <cp:lastPrinted>2022-09-12T08:06:00Z</cp:lastPrinted>
  <dcterms:created xsi:type="dcterms:W3CDTF">2022-09-12T08:18:00Z</dcterms:created>
  <dcterms:modified xsi:type="dcterms:W3CDTF">2022-09-14T06:05:00Z</dcterms:modified>
</cp:coreProperties>
</file>