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3CCF" w14:textId="34F3A74A" w:rsidR="00006CE6" w:rsidRPr="00006CE6" w:rsidRDefault="00006CE6" w:rsidP="00006CE6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006CE6">
        <w:rPr>
          <w:rFonts w:eastAsiaTheme="minorHAnsi" w:cs="Times New Roman"/>
          <w:b/>
          <w:bCs/>
          <w:kern w:val="0"/>
          <w:lang w:eastAsia="en-US" w:bidi="ar-SA"/>
        </w:rPr>
        <w:t xml:space="preserve">ZARZĄDZENIE NR </w:t>
      </w:r>
      <w:r w:rsidR="00BF4FEE">
        <w:rPr>
          <w:rFonts w:eastAsiaTheme="minorHAnsi" w:cs="Times New Roman"/>
          <w:b/>
          <w:bCs/>
          <w:kern w:val="0"/>
          <w:lang w:eastAsia="en-US" w:bidi="ar-SA"/>
        </w:rPr>
        <w:t>155/VI/2022</w:t>
      </w:r>
    </w:p>
    <w:p w14:paraId="0FC49E74" w14:textId="77777777" w:rsidR="00006CE6" w:rsidRPr="00006CE6" w:rsidRDefault="00AE14A5" w:rsidP="00006CE6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eastAsiaTheme="minorHAnsi" w:cs="Times New Roman"/>
          <w:b/>
          <w:bCs/>
          <w:kern w:val="0"/>
          <w:lang w:eastAsia="en-US" w:bidi="ar-SA"/>
        </w:rPr>
        <w:t>Burmistrza Gołdapi</w:t>
      </w:r>
    </w:p>
    <w:p w14:paraId="04FF8609" w14:textId="66CAE457" w:rsidR="00006CE6" w:rsidRPr="00006CE6" w:rsidRDefault="00006CE6" w:rsidP="00006CE6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006CE6">
        <w:rPr>
          <w:rFonts w:eastAsiaTheme="minorHAnsi" w:cs="Times New Roman"/>
          <w:b/>
          <w:bCs/>
          <w:kern w:val="0"/>
          <w:lang w:eastAsia="en-US" w:bidi="ar-SA"/>
        </w:rPr>
        <w:t xml:space="preserve">z dnia </w:t>
      </w:r>
      <w:r w:rsidR="00BF4FEE">
        <w:rPr>
          <w:rFonts w:eastAsiaTheme="minorHAnsi" w:cs="Times New Roman"/>
          <w:b/>
          <w:bCs/>
          <w:kern w:val="0"/>
          <w:lang w:eastAsia="en-US" w:bidi="ar-SA"/>
        </w:rPr>
        <w:t xml:space="preserve">6 czerwca 2022 r. </w:t>
      </w:r>
    </w:p>
    <w:p w14:paraId="59C5BC18" w14:textId="77777777" w:rsidR="00006CE6" w:rsidRDefault="00006CE6" w:rsidP="00006CE6">
      <w:pPr>
        <w:autoSpaceDE w:val="0"/>
        <w:autoSpaceDN w:val="0"/>
        <w:adjustRightInd w:val="0"/>
        <w:rPr>
          <w:rFonts w:eastAsiaTheme="minorHAnsi" w:cs="Times New Roman"/>
          <w:b/>
          <w:bCs/>
          <w:kern w:val="0"/>
          <w:lang w:eastAsia="en-US" w:bidi="ar-SA"/>
        </w:rPr>
      </w:pPr>
    </w:p>
    <w:p w14:paraId="11CDC0BC" w14:textId="77777777" w:rsidR="00006CE6" w:rsidRPr="00AE14A5" w:rsidRDefault="00006CE6" w:rsidP="00AE14A5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006CE6">
        <w:rPr>
          <w:rFonts w:eastAsiaTheme="minorHAnsi" w:cs="Times New Roman"/>
          <w:b/>
          <w:bCs/>
          <w:kern w:val="0"/>
          <w:lang w:eastAsia="en-US" w:bidi="ar-SA"/>
        </w:rPr>
        <w:t xml:space="preserve">w sprawie rozstrzygnięcia uwag złożonych do projektu </w:t>
      </w:r>
      <w:r w:rsidR="00AE14A5">
        <w:rPr>
          <w:rFonts w:eastAsiaTheme="minorHAnsi" w:cs="Times New Roman"/>
          <w:b/>
          <w:bCs/>
          <w:kern w:val="0"/>
          <w:lang w:eastAsia="en-US" w:bidi="ar-SA"/>
        </w:rPr>
        <w:t>M</w:t>
      </w:r>
      <w:r w:rsidR="00AE14A5" w:rsidRPr="00AE14A5">
        <w:rPr>
          <w:rFonts w:eastAsiaTheme="minorHAnsi" w:cs="Times New Roman"/>
          <w:b/>
          <w:bCs/>
          <w:kern w:val="0"/>
          <w:lang w:eastAsia="en-US" w:bidi="ar-SA"/>
        </w:rPr>
        <w:t>iejscowego planu zagospodarowania przestrzennego obszaru położonego nad rzeką Gołdapą pomiędzy ulicami: Generała Sikorskiego, Różaną i Lipową w Gołdapi</w:t>
      </w:r>
    </w:p>
    <w:p w14:paraId="1D67A1DF" w14:textId="77777777" w:rsidR="00AE14A5" w:rsidRDefault="00AE14A5" w:rsidP="00006CE6">
      <w:pPr>
        <w:autoSpaceDE w:val="0"/>
        <w:autoSpaceDN w:val="0"/>
        <w:adjustRightInd w:val="0"/>
        <w:jc w:val="both"/>
        <w:rPr>
          <w:rFonts w:eastAsiaTheme="minorHAnsi" w:cs="Times New Roman"/>
          <w:kern w:val="0"/>
          <w:lang w:eastAsia="en-US" w:bidi="ar-SA"/>
        </w:rPr>
      </w:pPr>
    </w:p>
    <w:p w14:paraId="2BB9BCFB" w14:textId="786C52DB" w:rsidR="00006CE6" w:rsidRPr="00006CE6" w:rsidRDefault="00006CE6" w:rsidP="00006CE6">
      <w:pPr>
        <w:autoSpaceDE w:val="0"/>
        <w:autoSpaceDN w:val="0"/>
        <w:adjustRightInd w:val="0"/>
        <w:jc w:val="both"/>
        <w:rPr>
          <w:rFonts w:eastAsiaTheme="minorHAnsi" w:cs="Times New Roman"/>
          <w:kern w:val="0"/>
          <w:lang w:eastAsia="en-US" w:bidi="ar-SA"/>
        </w:rPr>
      </w:pPr>
      <w:r w:rsidRPr="00006CE6">
        <w:rPr>
          <w:rFonts w:eastAsiaTheme="minorHAnsi" w:cs="Times New Roman"/>
          <w:kern w:val="0"/>
          <w:lang w:eastAsia="en-US" w:bidi="ar-SA"/>
        </w:rPr>
        <w:t xml:space="preserve">Na podstawie art. 30 ust. 1 ustawy z dnia 08 marca 1990 o samorządzie gminnym (t.j. Dz. U. </w:t>
      </w:r>
      <w:r w:rsidR="00490370">
        <w:rPr>
          <w:rFonts w:eastAsiaTheme="minorHAnsi" w:cs="Times New Roman"/>
          <w:kern w:val="0"/>
          <w:lang w:eastAsia="en-US" w:bidi="ar-SA"/>
        </w:rPr>
        <w:br/>
      </w:r>
      <w:r w:rsidRPr="00006CE6">
        <w:rPr>
          <w:rFonts w:eastAsiaTheme="minorHAnsi" w:cs="Times New Roman"/>
          <w:kern w:val="0"/>
          <w:lang w:eastAsia="en-US" w:bidi="ar-SA"/>
        </w:rPr>
        <w:t>z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006CE6">
        <w:rPr>
          <w:rFonts w:eastAsiaTheme="minorHAnsi" w:cs="Times New Roman"/>
          <w:kern w:val="0"/>
          <w:lang w:eastAsia="en-US" w:bidi="ar-SA"/>
        </w:rPr>
        <w:t>20</w:t>
      </w:r>
      <w:r>
        <w:rPr>
          <w:rFonts w:eastAsiaTheme="minorHAnsi" w:cs="Times New Roman"/>
          <w:kern w:val="0"/>
          <w:lang w:eastAsia="en-US" w:bidi="ar-SA"/>
        </w:rPr>
        <w:t>22</w:t>
      </w:r>
      <w:r w:rsidRPr="00006CE6">
        <w:rPr>
          <w:rFonts w:eastAsiaTheme="minorHAnsi" w:cs="Times New Roman"/>
          <w:kern w:val="0"/>
          <w:lang w:eastAsia="en-US" w:bidi="ar-SA"/>
        </w:rPr>
        <w:t xml:space="preserve"> r. poz. </w:t>
      </w:r>
      <w:r>
        <w:rPr>
          <w:rFonts w:eastAsiaTheme="minorHAnsi" w:cs="Times New Roman"/>
          <w:kern w:val="0"/>
          <w:lang w:eastAsia="en-US" w:bidi="ar-SA"/>
        </w:rPr>
        <w:t>559</w:t>
      </w:r>
      <w:r w:rsidRPr="00006CE6">
        <w:rPr>
          <w:rFonts w:eastAsiaTheme="minorHAnsi" w:cs="Times New Roman"/>
          <w:kern w:val="0"/>
          <w:lang w:eastAsia="en-US" w:bidi="ar-SA"/>
        </w:rPr>
        <w:t xml:space="preserve"> ze zm.) i art. 7 i art. </w:t>
      </w:r>
      <w:r w:rsidR="007D5996">
        <w:rPr>
          <w:rFonts w:eastAsiaTheme="minorHAnsi" w:cs="Times New Roman"/>
          <w:kern w:val="0"/>
          <w:lang w:eastAsia="en-US" w:bidi="ar-SA"/>
        </w:rPr>
        <w:t>17</w:t>
      </w:r>
      <w:r w:rsidRPr="00006CE6">
        <w:rPr>
          <w:rFonts w:eastAsiaTheme="minorHAnsi" w:cs="Times New Roman"/>
          <w:kern w:val="0"/>
          <w:lang w:eastAsia="en-US" w:bidi="ar-SA"/>
        </w:rPr>
        <w:t xml:space="preserve"> punkt </w:t>
      </w:r>
      <w:r w:rsidR="007D5996">
        <w:rPr>
          <w:rFonts w:eastAsiaTheme="minorHAnsi" w:cs="Times New Roman"/>
          <w:kern w:val="0"/>
          <w:lang w:eastAsia="en-US" w:bidi="ar-SA"/>
        </w:rPr>
        <w:t xml:space="preserve">12 </w:t>
      </w:r>
      <w:r w:rsidRPr="00006CE6">
        <w:rPr>
          <w:rFonts w:eastAsiaTheme="minorHAnsi" w:cs="Times New Roman"/>
          <w:kern w:val="0"/>
          <w:lang w:eastAsia="en-US" w:bidi="ar-SA"/>
        </w:rPr>
        <w:t>ustawy z dnia 27 marca 2003r. o planowaniu i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006CE6">
        <w:rPr>
          <w:rFonts w:eastAsiaTheme="minorHAnsi" w:cs="Times New Roman"/>
          <w:kern w:val="0"/>
          <w:lang w:eastAsia="en-US" w:bidi="ar-SA"/>
        </w:rPr>
        <w:t>zagospodarowaniu przestrzennym (t.j. Dz. U. z 20</w:t>
      </w:r>
      <w:r>
        <w:rPr>
          <w:rFonts w:eastAsiaTheme="minorHAnsi" w:cs="Times New Roman"/>
          <w:kern w:val="0"/>
          <w:lang w:eastAsia="en-US" w:bidi="ar-SA"/>
        </w:rPr>
        <w:t>22</w:t>
      </w:r>
      <w:r w:rsidRPr="00006CE6">
        <w:rPr>
          <w:rFonts w:eastAsiaTheme="minorHAnsi" w:cs="Times New Roman"/>
          <w:kern w:val="0"/>
          <w:lang w:eastAsia="en-US" w:bidi="ar-SA"/>
        </w:rPr>
        <w:t xml:space="preserve"> r. poz. </w:t>
      </w:r>
      <w:r>
        <w:rPr>
          <w:rFonts w:eastAsiaTheme="minorHAnsi" w:cs="Times New Roman"/>
          <w:kern w:val="0"/>
          <w:lang w:eastAsia="en-US" w:bidi="ar-SA"/>
        </w:rPr>
        <w:t>503</w:t>
      </w:r>
      <w:r w:rsidRPr="00006CE6">
        <w:rPr>
          <w:rFonts w:eastAsiaTheme="minorHAnsi" w:cs="Times New Roman"/>
          <w:kern w:val="0"/>
          <w:lang w:eastAsia="en-US" w:bidi="ar-SA"/>
        </w:rPr>
        <w:t xml:space="preserve">) </w:t>
      </w:r>
      <w:r w:rsidR="00490370">
        <w:rPr>
          <w:rFonts w:eastAsiaTheme="minorHAnsi" w:cs="Times New Roman"/>
          <w:kern w:val="0"/>
          <w:lang w:eastAsia="en-US" w:bidi="ar-SA"/>
        </w:rPr>
        <w:t>B</w:t>
      </w:r>
      <w:r w:rsidR="00AE14A5">
        <w:rPr>
          <w:rFonts w:eastAsiaTheme="minorHAnsi" w:cs="Times New Roman"/>
          <w:kern w:val="0"/>
          <w:lang w:eastAsia="en-US" w:bidi="ar-SA"/>
        </w:rPr>
        <w:t>urmistrz Gołdapi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006CE6">
        <w:rPr>
          <w:rFonts w:eastAsiaTheme="minorHAnsi" w:cs="Times New Roman"/>
          <w:kern w:val="0"/>
          <w:lang w:eastAsia="en-US" w:bidi="ar-SA"/>
        </w:rPr>
        <w:t>zarządza co następuje:</w:t>
      </w:r>
    </w:p>
    <w:p w14:paraId="0F93C247" w14:textId="77777777" w:rsidR="00006CE6" w:rsidRDefault="00006CE6" w:rsidP="00006CE6">
      <w:pPr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</w:p>
    <w:p w14:paraId="3290D025" w14:textId="77777777" w:rsidR="00006CE6" w:rsidRPr="00006CE6" w:rsidRDefault="00006CE6" w:rsidP="00006CE6">
      <w:pPr>
        <w:autoSpaceDE w:val="0"/>
        <w:autoSpaceDN w:val="0"/>
        <w:adjustRightInd w:val="0"/>
        <w:jc w:val="center"/>
        <w:rPr>
          <w:rFonts w:eastAsiaTheme="minorHAnsi" w:cs="Times New Roman"/>
          <w:kern w:val="0"/>
          <w:lang w:eastAsia="en-US" w:bidi="ar-SA"/>
        </w:rPr>
      </w:pPr>
      <w:r w:rsidRPr="00006CE6">
        <w:rPr>
          <w:rFonts w:eastAsiaTheme="minorHAnsi" w:cs="Times New Roman"/>
          <w:kern w:val="0"/>
          <w:lang w:eastAsia="en-US" w:bidi="ar-SA"/>
        </w:rPr>
        <w:t>§ 1</w:t>
      </w:r>
    </w:p>
    <w:p w14:paraId="788DF7AD" w14:textId="77777777" w:rsidR="00006CE6" w:rsidRPr="00490370" w:rsidRDefault="00006CE6" w:rsidP="00006CE6">
      <w:pPr>
        <w:autoSpaceDE w:val="0"/>
        <w:autoSpaceDN w:val="0"/>
        <w:adjustRightInd w:val="0"/>
        <w:jc w:val="both"/>
        <w:rPr>
          <w:rFonts w:eastAsiaTheme="minorHAnsi" w:cs="Times New Roman"/>
          <w:kern w:val="0"/>
          <w:lang w:eastAsia="en-US" w:bidi="ar-SA"/>
        </w:rPr>
      </w:pPr>
      <w:r w:rsidRPr="00490370">
        <w:rPr>
          <w:rFonts w:eastAsiaTheme="minorHAnsi" w:cs="Times New Roman"/>
          <w:kern w:val="0"/>
          <w:lang w:eastAsia="en-US" w:bidi="ar-SA"/>
        </w:rPr>
        <w:t xml:space="preserve">Po przeprowadzeniu analizy uwag złożonych do </w:t>
      </w:r>
      <w:r w:rsidR="00193F11" w:rsidRPr="00490370">
        <w:rPr>
          <w:rFonts w:eastAsiaTheme="minorHAnsi" w:cs="Times New Roman"/>
          <w:kern w:val="0"/>
          <w:lang w:eastAsia="en-US" w:bidi="ar-SA"/>
        </w:rPr>
        <w:t xml:space="preserve">wyłożonego do publicznego wglądu </w:t>
      </w:r>
      <w:r w:rsidRPr="00490370">
        <w:rPr>
          <w:rFonts w:eastAsiaTheme="minorHAnsi" w:cs="Times New Roman"/>
          <w:kern w:val="0"/>
          <w:lang w:eastAsia="en-US" w:bidi="ar-SA"/>
        </w:rPr>
        <w:t xml:space="preserve">projektu </w:t>
      </w:r>
      <w:r w:rsidR="00AE14A5" w:rsidRPr="00490370">
        <w:rPr>
          <w:rFonts w:eastAsiaTheme="minorHAnsi" w:cs="Times New Roman"/>
          <w:kern w:val="0"/>
          <w:lang w:eastAsia="en-US" w:bidi="ar-SA"/>
        </w:rPr>
        <w:t xml:space="preserve">Miejscowego planu zagospodarowania przestrzennego obszaru położonego nad rzeką Gołdapą pomiędzy ulicami: Generała Sikorskiego, Różaną i Lipową w Gołdapi </w:t>
      </w:r>
      <w:r w:rsidRPr="00490370">
        <w:rPr>
          <w:rFonts w:eastAsiaTheme="minorHAnsi" w:cs="Times New Roman"/>
          <w:kern w:val="0"/>
          <w:lang w:eastAsia="en-US" w:bidi="ar-SA"/>
        </w:rPr>
        <w:t xml:space="preserve">postanawiam uwagi złożone do projektu </w:t>
      </w:r>
      <w:r w:rsidR="007D5996" w:rsidRPr="00490370">
        <w:rPr>
          <w:rFonts w:eastAsiaTheme="minorHAnsi" w:cs="Times New Roman"/>
          <w:kern w:val="0"/>
          <w:lang w:eastAsia="en-US" w:bidi="ar-SA"/>
        </w:rPr>
        <w:t>planu</w:t>
      </w:r>
      <w:r w:rsidRPr="00490370">
        <w:rPr>
          <w:rFonts w:eastAsiaTheme="minorHAnsi" w:cs="Times New Roman"/>
          <w:kern w:val="0"/>
          <w:lang w:eastAsia="en-US" w:bidi="ar-SA"/>
        </w:rPr>
        <w:t xml:space="preserve"> rozstrzygnąć w sposób ustalony w załączniku nr 1 do niniejszego zarządzenia.</w:t>
      </w:r>
    </w:p>
    <w:p w14:paraId="796398B0" w14:textId="77777777" w:rsidR="00006CE6" w:rsidRDefault="00006CE6" w:rsidP="00006CE6">
      <w:pPr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</w:p>
    <w:p w14:paraId="7CE5870E" w14:textId="77777777" w:rsidR="00006CE6" w:rsidRPr="00006CE6" w:rsidRDefault="00006CE6" w:rsidP="00006CE6">
      <w:pPr>
        <w:autoSpaceDE w:val="0"/>
        <w:autoSpaceDN w:val="0"/>
        <w:adjustRightInd w:val="0"/>
        <w:jc w:val="center"/>
        <w:rPr>
          <w:rFonts w:eastAsiaTheme="minorHAnsi" w:cs="Times New Roman"/>
          <w:kern w:val="0"/>
          <w:lang w:eastAsia="en-US" w:bidi="ar-SA"/>
        </w:rPr>
      </w:pPr>
      <w:r w:rsidRPr="00006CE6">
        <w:rPr>
          <w:rFonts w:eastAsiaTheme="minorHAnsi" w:cs="Times New Roman"/>
          <w:kern w:val="0"/>
          <w:lang w:eastAsia="en-US" w:bidi="ar-SA"/>
        </w:rPr>
        <w:t>§ 2</w:t>
      </w:r>
    </w:p>
    <w:p w14:paraId="0C7B0C51" w14:textId="28EAA9CF" w:rsidR="00006CE6" w:rsidRPr="00006CE6" w:rsidRDefault="00006CE6" w:rsidP="00006CE6">
      <w:pPr>
        <w:autoSpaceDE w:val="0"/>
        <w:autoSpaceDN w:val="0"/>
        <w:adjustRightInd w:val="0"/>
        <w:jc w:val="both"/>
        <w:rPr>
          <w:rFonts w:eastAsiaTheme="minorHAnsi" w:cs="Times New Roman"/>
          <w:kern w:val="0"/>
          <w:lang w:eastAsia="en-US" w:bidi="ar-SA"/>
        </w:rPr>
      </w:pPr>
      <w:r w:rsidRPr="00006CE6">
        <w:rPr>
          <w:rFonts w:eastAsiaTheme="minorHAnsi" w:cs="Times New Roman"/>
          <w:kern w:val="0"/>
          <w:lang w:eastAsia="en-US" w:bidi="ar-SA"/>
        </w:rPr>
        <w:t xml:space="preserve">Rozstrzygnięcie zawarte w załączniku nr 1 stanowi podstawę do </w:t>
      </w:r>
      <w:r w:rsidR="00AE14A5">
        <w:rPr>
          <w:rFonts w:eastAsiaTheme="minorHAnsi" w:cs="Times New Roman"/>
          <w:kern w:val="0"/>
          <w:lang w:eastAsia="en-US" w:bidi="ar-SA"/>
        </w:rPr>
        <w:t>kontynuowania</w:t>
      </w:r>
      <w:r w:rsidR="007D5996">
        <w:rPr>
          <w:rFonts w:eastAsiaTheme="minorHAnsi" w:cs="Times New Roman"/>
          <w:kern w:val="0"/>
          <w:lang w:eastAsia="en-US" w:bidi="ar-SA"/>
        </w:rPr>
        <w:t xml:space="preserve"> procedury planistycznej w zakresie wynikającym z przepisów </w:t>
      </w:r>
      <w:r w:rsidR="007D5996" w:rsidRPr="00006CE6">
        <w:rPr>
          <w:rFonts w:eastAsiaTheme="minorHAnsi" w:cs="Times New Roman"/>
          <w:kern w:val="0"/>
          <w:lang w:eastAsia="en-US" w:bidi="ar-SA"/>
        </w:rPr>
        <w:t xml:space="preserve">ustawy z dnia 27 marca 2003r. </w:t>
      </w:r>
      <w:r w:rsidR="00AC0EE5">
        <w:rPr>
          <w:rFonts w:eastAsiaTheme="minorHAnsi" w:cs="Times New Roman"/>
          <w:kern w:val="0"/>
          <w:lang w:eastAsia="en-US" w:bidi="ar-SA"/>
        </w:rPr>
        <w:br/>
      </w:r>
      <w:r w:rsidR="007D5996" w:rsidRPr="00006CE6">
        <w:rPr>
          <w:rFonts w:eastAsiaTheme="minorHAnsi" w:cs="Times New Roman"/>
          <w:kern w:val="0"/>
          <w:lang w:eastAsia="en-US" w:bidi="ar-SA"/>
        </w:rPr>
        <w:t>o planowaniu i</w:t>
      </w:r>
      <w:r w:rsidR="007D5996">
        <w:rPr>
          <w:rFonts w:eastAsiaTheme="minorHAnsi" w:cs="Times New Roman"/>
          <w:kern w:val="0"/>
          <w:lang w:eastAsia="en-US" w:bidi="ar-SA"/>
        </w:rPr>
        <w:t xml:space="preserve"> </w:t>
      </w:r>
      <w:r w:rsidR="007D5996" w:rsidRPr="00006CE6">
        <w:rPr>
          <w:rFonts w:eastAsiaTheme="minorHAnsi" w:cs="Times New Roman"/>
          <w:kern w:val="0"/>
          <w:lang w:eastAsia="en-US" w:bidi="ar-SA"/>
        </w:rPr>
        <w:t>zagospodarowaniu przestrzennym (t.j. Dz. U. z 20</w:t>
      </w:r>
      <w:r w:rsidR="007D5996">
        <w:rPr>
          <w:rFonts w:eastAsiaTheme="minorHAnsi" w:cs="Times New Roman"/>
          <w:kern w:val="0"/>
          <w:lang w:eastAsia="en-US" w:bidi="ar-SA"/>
        </w:rPr>
        <w:t>22</w:t>
      </w:r>
      <w:r w:rsidR="007D5996" w:rsidRPr="00006CE6">
        <w:rPr>
          <w:rFonts w:eastAsiaTheme="minorHAnsi" w:cs="Times New Roman"/>
          <w:kern w:val="0"/>
          <w:lang w:eastAsia="en-US" w:bidi="ar-SA"/>
        </w:rPr>
        <w:t xml:space="preserve"> r. poz. </w:t>
      </w:r>
      <w:r w:rsidR="007D5996">
        <w:rPr>
          <w:rFonts w:eastAsiaTheme="minorHAnsi" w:cs="Times New Roman"/>
          <w:kern w:val="0"/>
          <w:lang w:eastAsia="en-US" w:bidi="ar-SA"/>
        </w:rPr>
        <w:t>503</w:t>
      </w:r>
      <w:r w:rsidR="007D5996" w:rsidRPr="00006CE6">
        <w:rPr>
          <w:rFonts w:eastAsiaTheme="minorHAnsi" w:cs="Times New Roman"/>
          <w:kern w:val="0"/>
          <w:lang w:eastAsia="en-US" w:bidi="ar-SA"/>
        </w:rPr>
        <w:t>)</w:t>
      </w:r>
      <w:r w:rsidRPr="00006CE6">
        <w:rPr>
          <w:rFonts w:eastAsiaTheme="minorHAnsi" w:cs="Times New Roman"/>
          <w:kern w:val="0"/>
          <w:lang w:eastAsia="en-US" w:bidi="ar-SA"/>
        </w:rPr>
        <w:t>.</w:t>
      </w:r>
    </w:p>
    <w:p w14:paraId="67942603" w14:textId="77777777" w:rsidR="00006CE6" w:rsidRDefault="00006CE6" w:rsidP="00006CE6">
      <w:pPr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</w:p>
    <w:p w14:paraId="39832FD6" w14:textId="77777777" w:rsidR="00006CE6" w:rsidRPr="00006CE6" w:rsidRDefault="00006CE6" w:rsidP="00006CE6">
      <w:pPr>
        <w:autoSpaceDE w:val="0"/>
        <w:autoSpaceDN w:val="0"/>
        <w:adjustRightInd w:val="0"/>
        <w:jc w:val="center"/>
        <w:rPr>
          <w:rFonts w:eastAsiaTheme="minorHAnsi" w:cs="Times New Roman"/>
          <w:kern w:val="0"/>
          <w:lang w:eastAsia="en-US" w:bidi="ar-SA"/>
        </w:rPr>
      </w:pPr>
      <w:r w:rsidRPr="00006CE6">
        <w:rPr>
          <w:rFonts w:eastAsiaTheme="minorHAnsi" w:cs="Times New Roman"/>
          <w:kern w:val="0"/>
          <w:lang w:eastAsia="en-US" w:bidi="ar-SA"/>
        </w:rPr>
        <w:t>§ 3</w:t>
      </w:r>
    </w:p>
    <w:p w14:paraId="78CEEA0C" w14:textId="77777777" w:rsidR="00006CE6" w:rsidRPr="00006CE6" w:rsidRDefault="00006CE6" w:rsidP="00006CE6">
      <w:pPr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  <w:r w:rsidRPr="00006CE6">
        <w:rPr>
          <w:rFonts w:eastAsiaTheme="minorHAnsi" w:cs="Times New Roman"/>
          <w:kern w:val="0"/>
          <w:lang w:eastAsia="en-US" w:bidi="ar-SA"/>
        </w:rPr>
        <w:t>Zarządzenie wchodzi w życie z dniem podpisania.</w:t>
      </w:r>
    </w:p>
    <w:p w14:paraId="34F5CF3D" w14:textId="77777777" w:rsidR="00006CE6" w:rsidRDefault="00006CE6" w:rsidP="00006CE6">
      <w:pPr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</w:p>
    <w:p w14:paraId="551C1AD2" w14:textId="77777777" w:rsidR="00006CE6" w:rsidRDefault="00006CE6" w:rsidP="00006CE6">
      <w:pPr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</w:p>
    <w:p w14:paraId="323DC4F4" w14:textId="77777777" w:rsidR="00006CE6" w:rsidRDefault="00006CE6" w:rsidP="00006CE6">
      <w:pPr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</w:p>
    <w:p w14:paraId="06B9963E" w14:textId="6EB385BB" w:rsidR="001F662B" w:rsidRDefault="00AE14A5" w:rsidP="00006CE6">
      <w:pPr>
        <w:jc w:val="right"/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  <w:r>
        <w:rPr>
          <w:rFonts w:eastAsiaTheme="minorHAnsi" w:cs="Times New Roman"/>
          <w:b/>
          <w:bCs/>
          <w:i/>
          <w:iCs/>
          <w:kern w:val="0"/>
          <w:lang w:eastAsia="en-US" w:bidi="ar-SA"/>
        </w:rPr>
        <w:t>Burmistrz Gołdapi</w:t>
      </w:r>
    </w:p>
    <w:p w14:paraId="781E3F9B" w14:textId="3B7B1412" w:rsidR="00490370" w:rsidRDefault="00490370" w:rsidP="00006CE6">
      <w:pPr>
        <w:jc w:val="right"/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</w:p>
    <w:p w14:paraId="7BBDCCA1" w14:textId="0A39290A" w:rsidR="00490370" w:rsidRDefault="00490370" w:rsidP="00006CE6">
      <w:pPr>
        <w:jc w:val="right"/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  <w:r>
        <w:rPr>
          <w:rFonts w:eastAsiaTheme="minorHAnsi" w:cs="Times New Roman"/>
          <w:b/>
          <w:bCs/>
          <w:i/>
          <w:iCs/>
          <w:kern w:val="0"/>
          <w:lang w:eastAsia="en-US" w:bidi="ar-SA"/>
        </w:rPr>
        <w:t>Tomasz Rafał Luto</w:t>
      </w:r>
    </w:p>
    <w:p w14:paraId="18C57496" w14:textId="77777777" w:rsidR="003666F1" w:rsidRDefault="003666F1" w:rsidP="00006CE6">
      <w:pPr>
        <w:jc w:val="right"/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</w:p>
    <w:p w14:paraId="6A164A79" w14:textId="77777777" w:rsidR="003666F1" w:rsidRDefault="003666F1">
      <w:pPr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  <w:r>
        <w:rPr>
          <w:rFonts w:eastAsiaTheme="minorHAnsi" w:cs="Times New Roman"/>
          <w:b/>
          <w:bCs/>
          <w:i/>
          <w:iCs/>
          <w:kern w:val="0"/>
          <w:lang w:eastAsia="en-US" w:bidi="ar-SA"/>
        </w:rPr>
        <w:br w:type="page"/>
      </w:r>
    </w:p>
    <w:p w14:paraId="7433F5B2" w14:textId="77777777" w:rsidR="003666F1" w:rsidRDefault="003666F1" w:rsidP="00006CE6">
      <w:pPr>
        <w:jc w:val="right"/>
        <w:rPr>
          <w:rFonts w:cs="Times New Roman"/>
        </w:rPr>
        <w:sectPr w:rsidR="003666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65A388" w14:textId="77777777" w:rsidR="003666F1" w:rsidRPr="00556AB9" w:rsidRDefault="003666F1" w:rsidP="003666F1">
      <w:pPr>
        <w:ind w:left="12744"/>
        <w:rPr>
          <w:sz w:val="18"/>
          <w:szCs w:val="18"/>
        </w:rPr>
      </w:pPr>
      <w:r w:rsidRPr="00556AB9">
        <w:rPr>
          <w:sz w:val="18"/>
          <w:szCs w:val="18"/>
        </w:rPr>
        <w:lastRenderedPageBreak/>
        <w:t>Załącznik nr 1</w:t>
      </w:r>
    </w:p>
    <w:p w14:paraId="3E3F413E" w14:textId="4AF25DD6" w:rsidR="003666F1" w:rsidRPr="00556AB9" w:rsidRDefault="003666F1" w:rsidP="003666F1">
      <w:pPr>
        <w:ind w:left="12744"/>
        <w:rPr>
          <w:sz w:val="18"/>
          <w:szCs w:val="18"/>
        </w:rPr>
      </w:pPr>
      <w:r w:rsidRPr="00556AB9">
        <w:rPr>
          <w:sz w:val="18"/>
          <w:szCs w:val="18"/>
        </w:rPr>
        <w:t xml:space="preserve">do Zarządzenia Nr </w:t>
      </w:r>
      <w:r w:rsidR="00BF4FEE">
        <w:rPr>
          <w:sz w:val="18"/>
          <w:szCs w:val="18"/>
        </w:rPr>
        <w:t>155/VI/2022</w:t>
      </w:r>
    </w:p>
    <w:p w14:paraId="1BB6C124" w14:textId="77777777" w:rsidR="003666F1" w:rsidRPr="00556AB9" w:rsidRDefault="00AE14A5" w:rsidP="003666F1">
      <w:pPr>
        <w:ind w:left="12744"/>
        <w:rPr>
          <w:sz w:val="18"/>
          <w:szCs w:val="18"/>
        </w:rPr>
      </w:pPr>
      <w:r>
        <w:rPr>
          <w:sz w:val="18"/>
          <w:szCs w:val="18"/>
        </w:rPr>
        <w:t>Burmistrza Gołdapi</w:t>
      </w:r>
    </w:p>
    <w:p w14:paraId="4D1C3ED8" w14:textId="145C5B21" w:rsidR="003666F1" w:rsidRPr="00556AB9" w:rsidRDefault="003666F1" w:rsidP="003666F1">
      <w:pPr>
        <w:ind w:left="12744"/>
        <w:rPr>
          <w:sz w:val="18"/>
          <w:szCs w:val="18"/>
        </w:rPr>
      </w:pPr>
      <w:r w:rsidRPr="00556AB9">
        <w:rPr>
          <w:sz w:val="18"/>
          <w:szCs w:val="18"/>
        </w:rPr>
        <w:t>z dnia</w:t>
      </w:r>
      <w:r w:rsidR="00BF4FEE">
        <w:rPr>
          <w:sz w:val="18"/>
          <w:szCs w:val="18"/>
        </w:rPr>
        <w:t xml:space="preserve"> 6 czerwca 2022 r.</w:t>
      </w:r>
    </w:p>
    <w:p w14:paraId="4FA3CA39" w14:textId="77777777" w:rsidR="003666F1" w:rsidRDefault="003666F1" w:rsidP="00006CE6">
      <w:pPr>
        <w:jc w:val="right"/>
        <w:rPr>
          <w:rFonts w:cs="Times New Roman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958"/>
        <w:gridCol w:w="1984"/>
        <w:gridCol w:w="1418"/>
        <w:gridCol w:w="3577"/>
        <w:gridCol w:w="1526"/>
        <w:gridCol w:w="5419"/>
      </w:tblGrid>
      <w:tr w:rsidR="003666F1" w:rsidRPr="00373102" w14:paraId="7DA0E041" w14:textId="77777777" w:rsidTr="00114926">
        <w:tc>
          <w:tcPr>
            <w:tcW w:w="455" w:type="dxa"/>
            <w:shd w:val="clear" w:color="auto" w:fill="D9D9D9"/>
          </w:tcPr>
          <w:p w14:paraId="5991B9CF" w14:textId="77777777" w:rsidR="003666F1" w:rsidRPr="00373102" w:rsidRDefault="003666F1" w:rsidP="00AE14A5">
            <w:pPr>
              <w:jc w:val="center"/>
              <w:rPr>
                <w:b/>
                <w:sz w:val="20"/>
                <w:szCs w:val="20"/>
              </w:rPr>
            </w:pPr>
            <w:r w:rsidRPr="0037310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58" w:type="dxa"/>
            <w:shd w:val="clear" w:color="auto" w:fill="D9D9D9"/>
          </w:tcPr>
          <w:p w14:paraId="46921084" w14:textId="77777777" w:rsidR="003666F1" w:rsidRPr="00373102" w:rsidRDefault="003666F1" w:rsidP="00AE14A5">
            <w:pPr>
              <w:jc w:val="center"/>
              <w:rPr>
                <w:b/>
                <w:sz w:val="20"/>
                <w:szCs w:val="20"/>
              </w:rPr>
            </w:pPr>
            <w:r w:rsidRPr="00373102">
              <w:rPr>
                <w:b/>
                <w:sz w:val="20"/>
                <w:szCs w:val="20"/>
              </w:rPr>
              <w:t>Data wpływu</w:t>
            </w:r>
          </w:p>
        </w:tc>
        <w:tc>
          <w:tcPr>
            <w:tcW w:w="1984" w:type="dxa"/>
            <w:shd w:val="clear" w:color="auto" w:fill="D9D9D9"/>
          </w:tcPr>
          <w:p w14:paraId="6C907B61" w14:textId="6279BE29" w:rsidR="003666F1" w:rsidRPr="00373102" w:rsidRDefault="003666F1" w:rsidP="00AE14A5">
            <w:pPr>
              <w:jc w:val="center"/>
              <w:rPr>
                <w:b/>
                <w:sz w:val="20"/>
                <w:szCs w:val="20"/>
              </w:rPr>
            </w:pPr>
            <w:r w:rsidRPr="00373102">
              <w:rPr>
                <w:b/>
                <w:sz w:val="20"/>
                <w:szCs w:val="20"/>
              </w:rPr>
              <w:t xml:space="preserve">Imię i </w:t>
            </w:r>
            <w:r w:rsidR="00490370">
              <w:rPr>
                <w:b/>
                <w:sz w:val="20"/>
                <w:szCs w:val="20"/>
              </w:rPr>
              <w:t>n</w:t>
            </w:r>
            <w:r w:rsidRPr="00373102">
              <w:rPr>
                <w:b/>
                <w:sz w:val="20"/>
                <w:szCs w:val="20"/>
              </w:rPr>
              <w:t>azwisko</w:t>
            </w:r>
          </w:p>
        </w:tc>
        <w:tc>
          <w:tcPr>
            <w:tcW w:w="1418" w:type="dxa"/>
            <w:shd w:val="clear" w:color="auto" w:fill="D9D9D9"/>
          </w:tcPr>
          <w:p w14:paraId="7DDA39DC" w14:textId="77777777" w:rsidR="003666F1" w:rsidRPr="00373102" w:rsidRDefault="003666F1" w:rsidP="00AE14A5">
            <w:pPr>
              <w:jc w:val="center"/>
              <w:rPr>
                <w:b/>
                <w:sz w:val="20"/>
                <w:szCs w:val="20"/>
              </w:rPr>
            </w:pPr>
            <w:r w:rsidRPr="00373102">
              <w:rPr>
                <w:b/>
                <w:sz w:val="20"/>
                <w:szCs w:val="20"/>
              </w:rPr>
              <w:t>Teren objęty uwagą</w:t>
            </w:r>
          </w:p>
        </w:tc>
        <w:tc>
          <w:tcPr>
            <w:tcW w:w="3577" w:type="dxa"/>
            <w:shd w:val="clear" w:color="auto" w:fill="D9D9D9"/>
          </w:tcPr>
          <w:p w14:paraId="37EAB66B" w14:textId="77777777" w:rsidR="003666F1" w:rsidRPr="00373102" w:rsidRDefault="003666F1" w:rsidP="00AE14A5">
            <w:pPr>
              <w:jc w:val="center"/>
              <w:rPr>
                <w:b/>
                <w:sz w:val="20"/>
                <w:szCs w:val="20"/>
              </w:rPr>
            </w:pPr>
            <w:r w:rsidRPr="00373102">
              <w:rPr>
                <w:b/>
                <w:sz w:val="20"/>
                <w:szCs w:val="20"/>
              </w:rPr>
              <w:t>Treść uwagi (skrót)</w:t>
            </w:r>
          </w:p>
        </w:tc>
        <w:tc>
          <w:tcPr>
            <w:tcW w:w="1526" w:type="dxa"/>
            <w:shd w:val="clear" w:color="auto" w:fill="D9D9D9"/>
          </w:tcPr>
          <w:p w14:paraId="4264E656" w14:textId="5BF9E5E5" w:rsidR="003666F1" w:rsidRPr="00642EB7" w:rsidRDefault="003666F1" w:rsidP="00AE14A5">
            <w:pPr>
              <w:jc w:val="center"/>
              <w:rPr>
                <w:b/>
                <w:sz w:val="20"/>
                <w:szCs w:val="20"/>
              </w:rPr>
            </w:pPr>
            <w:r w:rsidRPr="00642EB7">
              <w:rPr>
                <w:b/>
                <w:sz w:val="20"/>
                <w:szCs w:val="20"/>
              </w:rPr>
              <w:t xml:space="preserve">Rozstrzygnięcie </w:t>
            </w:r>
            <w:r w:rsidR="00AE14A5">
              <w:rPr>
                <w:b/>
                <w:sz w:val="20"/>
                <w:szCs w:val="20"/>
              </w:rPr>
              <w:t>Burmistrza</w:t>
            </w:r>
            <w:r w:rsidR="00490370">
              <w:rPr>
                <w:b/>
                <w:sz w:val="20"/>
                <w:szCs w:val="20"/>
              </w:rPr>
              <w:t xml:space="preserve"> Gołdapi</w:t>
            </w:r>
          </w:p>
        </w:tc>
        <w:tc>
          <w:tcPr>
            <w:tcW w:w="5419" w:type="dxa"/>
            <w:shd w:val="clear" w:color="auto" w:fill="D9D9D9"/>
          </w:tcPr>
          <w:p w14:paraId="33E54550" w14:textId="77777777" w:rsidR="003666F1" w:rsidRPr="00642EB7" w:rsidRDefault="003666F1" w:rsidP="00AE1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</w:t>
            </w:r>
          </w:p>
        </w:tc>
      </w:tr>
      <w:tr w:rsidR="003666F1" w:rsidRPr="00642EB7" w14:paraId="302F14C1" w14:textId="77777777" w:rsidTr="00114926">
        <w:tc>
          <w:tcPr>
            <w:tcW w:w="455" w:type="dxa"/>
            <w:shd w:val="clear" w:color="auto" w:fill="auto"/>
          </w:tcPr>
          <w:p w14:paraId="1FC827C9" w14:textId="77777777" w:rsidR="003666F1" w:rsidRPr="00642EB7" w:rsidRDefault="003666F1" w:rsidP="00AE14A5">
            <w:pPr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14:paraId="5CAAFB65" w14:textId="77777777" w:rsidR="003666F1" w:rsidRPr="00642EB7" w:rsidRDefault="00AE14A5" w:rsidP="00AE1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17-05-2022</w:t>
            </w:r>
          </w:p>
        </w:tc>
        <w:tc>
          <w:tcPr>
            <w:tcW w:w="1984" w:type="dxa"/>
            <w:shd w:val="clear" w:color="auto" w:fill="auto"/>
          </w:tcPr>
          <w:p w14:paraId="267B466E" w14:textId="77777777" w:rsidR="003666F1" w:rsidRDefault="00CC4014" w:rsidP="00AE1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Mieszkańcy Gołdapi:</w:t>
            </w:r>
          </w:p>
          <w:p w14:paraId="6249C3A6" w14:textId="67E695ED" w:rsidR="00CC4014" w:rsidRDefault="00BF4FEE" w:rsidP="00AE1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2E3A167" w14:textId="77777777" w:rsidR="00CC4014" w:rsidRPr="00642EB7" w:rsidRDefault="00CC4014" w:rsidP="00AE14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1B3CE0D" w14:textId="615F88B2" w:rsidR="003666F1" w:rsidRPr="00642EB7" w:rsidRDefault="00114926" w:rsidP="00CC4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3666F1" w:rsidRPr="00642EB7">
              <w:rPr>
                <w:sz w:val="18"/>
                <w:szCs w:val="18"/>
              </w:rPr>
              <w:t xml:space="preserve">ereny: </w:t>
            </w:r>
            <w:r w:rsidR="00CC4014">
              <w:rPr>
                <w:sz w:val="18"/>
                <w:szCs w:val="18"/>
              </w:rPr>
              <w:t>MW.01</w:t>
            </w:r>
          </w:p>
        </w:tc>
        <w:tc>
          <w:tcPr>
            <w:tcW w:w="3577" w:type="dxa"/>
            <w:shd w:val="clear" w:color="auto" w:fill="auto"/>
          </w:tcPr>
          <w:p w14:paraId="59F49632" w14:textId="01339163" w:rsidR="003666F1" w:rsidRPr="00642EB7" w:rsidRDefault="003666F1" w:rsidP="0063594E">
            <w:pPr>
              <w:jc w:val="both"/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 xml:space="preserve">Sprzeciw wobec </w:t>
            </w:r>
            <w:r w:rsidR="00CC4014">
              <w:rPr>
                <w:sz w:val="18"/>
                <w:szCs w:val="18"/>
              </w:rPr>
              <w:t xml:space="preserve">lokalizacji zabudowy mieszkaniowej wielorodzinnej lub usługowej </w:t>
            </w:r>
            <w:r w:rsidR="0063594E">
              <w:rPr>
                <w:sz w:val="18"/>
                <w:szCs w:val="18"/>
              </w:rPr>
              <w:br/>
            </w:r>
            <w:r w:rsidR="00CC4014">
              <w:rPr>
                <w:sz w:val="18"/>
                <w:szCs w:val="18"/>
              </w:rPr>
              <w:t xml:space="preserve">w granicach planu. Również sprzeciw wobec zabudowy usługowej. Lokalizacja zabudowy spowoduje nadmierne obciążenie ruchem samochodowym – postulat ograniczenia ruchu kołowego na konsultowanym terenie. Zagrożenie dla stabilności skarpy od strony </w:t>
            </w:r>
            <w:r w:rsidR="0063594E">
              <w:rPr>
                <w:sz w:val="18"/>
                <w:szCs w:val="18"/>
              </w:rPr>
              <w:br/>
            </w:r>
            <w:r w:rsidR="00CC4014">
              <w:rPr>
                <w:sz w:val="18"/>
                <w:szCs w:val="18"/>
              </w:rPr>
              <w:t xml:space="preserve">ul. Padarewskiego, na której stoją budynki wielorodzinne. Położenie części obszaru </w:t>
            </w:r>
            <w:r w:rsidR="0063594E">
              <w:rPr>
                <w:sz w:val="18"/>
                <w:szCs w:val="18"/>
              </w:rPr>
              <w:br/>
            </w:r>
            <w:r w:rsidR="00CC4014">
              <w:rPr>
                <w:sz w:val="18"/>
                <w:szCs w:val="18"/>
              </w:rPr>
              <w:t>w granicach pośredniej ochrony ujęcia wody.</w:t>
            </w:r>
          </w:p>
        </w:tc>
        <w:tc>
          <w:tcPr>
            <w:tcW w:w="1526" w:type="dxa"/>
          </w:tcPr>
          <w:p w14:paraId="1732F553" w14:textId="141E8A1F" w:rsidR="003666F1" w:rsidRPr="00642EB7" w:rsidRDefault="00114926" w:rsidP="00635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3666F1" w:rsidRPr="00642EB7">
              <w:rPr>
                <w:sz w:val="18"/>
                <w:szCs w:val="18"/>
              </w:rPr>
              <w:t>ieuwzględniona</w:t>
            </w:r>
          </w:p>
        </w:tc>
        <w:tc>
          <w:tcPr>
            <w:tcW w:w="5419" w:type="dxa"/>
          </w:tcPr>
          <w:p w14:paraId="18FA3FFB" w14:textId="1F0F5627" w:rsidR="003666F1" w:rsidRDefault="00CC4014" w:rsidP="001149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Lokalizacja zabudowy mieszkaniowej wielorodzinnej o charakterze ekstensywnym jest zgodna z kierunkami zagospodarowania przestrzennego miasta wynikającymi z obwiązującego Studium uwarunkowań i kierunków zagospodarowania przestrzennego miasta </w:t>
            </w:r>
            <w:r w:rsidR="001149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i gminy Gołdap.  </w:t>
            </w:r>
            <w:r w:rsidR="003666F1">
              <w:rPr>
                <w:sz w:val="18"/>
                <w:szCs w:val="18"/>
              </w:rPr>
              <w:t xml:space="preserve"> </w:t>
            </w:r>
            <w:r w:rsidR="00565AB5">
              <w:rPr>
                <w:sz w:val="18"/>
                <w:szCs w:val="18"/>
              </w:rPr>
              <w:t>Powierzchnia terenu przeznaczonego pod zabudowę mieszkaniową</w:t>
            </w:r>
            <w:r w:rsidR="003666F1">
              <w:rPr>
                <w:sz w:val="18"/>
                <w:szCs w:val="18"/>
              </w:rPr>
              <w:t xml:space="preserve"> do całego terenu objętego planem </w:t>
            </w:r>
            <w:r w:rsidR="00565AB5">
              <w:rPr>
                <w:sz w:val="18"/>
                <w:szCs w:val="18"/>
              </w:rPr>
              <w:t>wynosi</w:t>
            </w:r>
            <w:r w:rsidR="003666F1">
              <w:rPr>
                <w:sz w:val="18"/>
                <w:szCs w:val="18"/>
              </w:rPr>
              <w:t xml:space="preserve"> zaledwie </w:t>
            </w:r>
            <w:r w:rsidR="00565AB5">
              <w:rPr>
                <w:sz w:val="18"/>
                <w:szCs w:val="18"/>
              </w:rPr>
              <w:t>14</w:t>
            </w:r>
            <w:r w:rsidR="003666F1">
              <w:rPr>
                <w:sz w:val="18"/>
                <w:szCs w:val="18"/>
              </w:rPr>
              <w:t>%.</w:t>
            </w:r>
            <w:r w:rsidR="00565AB5">
              <w:rPr>
                <w:sz w:val="18"/>
                <w:szCs w:val="18"/>
              </w:rPr>
              <w:t xml:space="preserve"> Biorąc pod uwagę wysokość zabudowy (do 3 kondygnacji nadziemnych) </w:t>
            </w:r>
            <w:r w:rsidR="00114926">
              <w:rPr>
                <w:sz w:val="18"/>
                <w:szCs w:val="18"/>
              </w:rPr>
              <w:br/>
            </w:r>
            <w:r w:rsidR="00565AB5">
              <w:rPr>
                <w:sz w:val="18"/>
                <w:szCs w:val="18"/>
              </w:rPr>
              <w:t xml:space="preserve">i niewielki wskaźnik zabudowy należy uznać, że będzie to zabudowa </w:t>
            </w:r>
            <w:r w:rsidR="00114926">
              <w:rPr>
                <w:sz w:val="18"/>
                <w:szCs w:val="18"/>
              </w:rPr>
              <w:br/>
            </w:r>
            <w:r w:rsidR="00565AB5">
              <w:rPr>
                <w:sz w:val="18"/>
                <w:szCs w:val="18"/>
              </w:rPr>
              <w:t xml:space="preserve">o charakterze ekstensywnym, dobrze wpisująca się w sposób zagospodarowania tej części miasta. </w:t>
            </w:r>
          </w:p>
          <w:p w14:paraId="537536F5" w14:textId="77777777" w:rsidR="00565AB5" w:rsidRDefault="00565AB5" w:rsidP="001149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Dojazd do terenu będzie realizowany z drogi publicznej oznaczonej symbolem KD.01 stanowiącej przedłużenie ul. Różanej – nie dopuszcza się innych rozwiązań komunikacyjnych. </w:t>
            </w:r>
          </w:p>
          <w:p w14:paraId="52CA2660" w14:textId="15763DCB" w:rsidR="00565AB5" w:rsidRPr="00642EB7" w:rsidRDefault="00565AB5" w:rsidP="001149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Dostępne badania geologiczne pokazują, ze projektowana zabudowa </w:t>
            </w:r>
            <w:r w:rsidR="001149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nie stanowi zagrożenia dla zabudowy wielorodzinnej zlokalizowanej </w:t>
            </w:r>
            <w:r w:rsidR="001149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na skarpie przy ul. Padarewskiego. W zakresie lokalizacji stref ochronnych ujęcia wody projekt planu uzyskał wszelkie wymagane przepisami prawa uzgodnienia i opinie.</w:t>
            </w:r>
          </w:p>
        </w:tc>
      </w:tr>
      <w:tr w:rsidR="003666F1" w:rsidRPr="00642EB7" w14:paraId="59FBF418" w14:textId="77777777" w:rsidTr="00114926">
        <w:tc>
          <w:tcPr>
            <w:tcW w:w="455" w:type="dxa"/>
            <w:shd w:val="clear" w:color="auto" w:fill="auto"/>
          </w:tcPr>
          <w:p w14:paraId="193C0ED3" w14:textId="77777777" w:rsidR="003666F1" w:rsidRPr="00642EB7" w:rsidRDefault="003666F1" w:rsidP="00AE14A5">
            <w:pPr>
              <w:rPr>
                <w:sz w:val="18"/>
                <w:szCs w:val="18"/>
              </w:rPr>
            </w:pPr>
            <w:r w:rsidRPr="00642EB7">
              <w:rPr>
                <w:sz w:val="18"/>
                <w:szCs w:val="18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14:paraId="30117EE8" w14:textId="77777777" w:rsidR="003666F1" w:rsidRPr="00642EB7" w:rsidRDefault="00565AB5" w:rsidP="00AE1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21-04-2022</w:t>
            </w:r>
          </w:p>
        </w:tc>
        <w:tc>
          <w:tcPr>
            <w:tcW w:w="1984" w:type="dxa"/>
            <w:shd w:val="clear" w:color="auto" w:fill="auto"/>
          </w:tcPr>
          <w:p w14:paraId="2A3E6459" w14:textId="77777777" w:rsidR="003666F1" w:rsidRDefault="00565AB5" w:rsidP="00AE1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Mieszkańcy Gołdapi:</w:t>
            </w:r>
          </w:p>
          <w:p w14:paraId="369C6A8C" w14:textId="29BB53E3" w:rsidR="00565AB5" w:rsidRPr="00642EB7" w:rsidRDefault="00BF4FEE" w:rsidP="00AE1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9B049E3" w14:textId="77777777" w:rsidR="003666F1" w:rsidRPr="00642EB7" w:rsidRDefault="003666F1" w:rsidP="00AE14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B0F58D0" w14:textId="4CC07A65" w:rsidR="003666F1" w:rsidRPr="00642EB7" w:rsidRDefault="00114926" w:rsidP="00AE1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565AB5">
              <w:rPr>
                <w:sz w:val="18"/>
                <w:szCs w:val="18"/>
              </w:rPr>
              <w:t>ały obszar planu</w:t>
            </w:r>
          </w:p>
        </w:tc>
        <w:tc>
          <w:tcPr>
            <w:tcW w:w="3577" w:type="dxa"/>
            <w:shd w:val="clear" w:color="auto" w:fill="auto"/>
          </w:tcPr>
          <w:p w14:paraId="46CF0B1D" w14:textId="77777777" w:rsidR="003666F1" w:rsidRDefault="00565AB5" w:rsidP="00635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Ustalenie priorytetu dla ruchu pieszego na terenie KPJ.02 w części </w:t>
            </w:r>
            <w:r w:rsidR="00C761B6">
              <w:rPr>
                <w:sz w:val="18"/>
                <w:szCs w:val="18"/>
              </w:rPr>
              <w:t>niezbudowanej domami mieszkalnymi i jednoczesne dopuszczenie ciągu jezdnego dla ulicy Różanej.</w:t>
            </w:r>
          </w:p>
          <w:p w14:paraId="0FEA3294" w14:textId="76F191EB" w:rsidR="00C761B6" w:rsidRDefault="00C761B6" w:rsidP="00635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Zmiana planowanej zabudowy mieszkaniowej wielorodzinnej na zabudowę jednorodzinną. zakaz dojazdu do przyszłego osiedla ul. Różaną od strony ul. </w:t>
            </w:r>
            <w:r w:rsidR="0063594E">
              <w:rPr>
                <w:sz w:val="18"/>
                <w:szCs w:val="18"/>
              </w:rPr>
              <w:t>Gen</w:t>
            </w:r>
            <w:r w:rsidR="00114926">
              <w:rPr>
                <w:sz w:val="18"/>
                <w:szCs w:val="18"/>
              </w:rPr>
              <w:t xml:space="preserve">erała </w:t>
            </w:r>
            <w:r>
              <w:rPr>
                <w:sz w:val="18"/>
                <w:szCs w:val="18"/>
              </w:rPr>
              <w:t>S</w:t>
            </w:r>
            <w:r w:rsidR="0063594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korskiego.</w:t>
            </w:r>
          </w:p>
          <w:p w14:paraId="26A2FF7B" w14:textId="38B79951" w:rsidR="00C761B6" w:rsidRDefault="00C761B6" w:rsidP="00635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Zakaz dojazdu do ul. Słonecznej poprzez </w:t>
            </w:r>
            <w:r w:rsidR="001149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ul. Różaną przez osiedle zabudowy</w:t>
            </w:r>
            <w:r w:rsidR="001149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jednorodzinnej. </w:t>
            </w:r>
            <w:r w:rsidR="0011492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skazany dojazd od strony centrum.</w:t>
            </w:r>
          </w:p>
          <w:p w14:paraId="562FCF80" w14:textId="77777777" w:rsidR="00C761B6" w:rsidRPr="00642EB7" w:rsidRDefault="00C761B6" w:rsidP="00AE14A5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033835B9" w14:textId="545F13EE" w:rsidR="003666F1" w:rsidRPr="00642EB7" w:rsidRDefault="00114926" w:rsidP="00635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3666F1" w:rsidRPr="00642EB7">
              <w:rPr>
                <w:sz w:val="18"/>
                <w:szCs w:val="18"/>
              </w:rPr>
              <w:t>ieuwzględniona</w:t>
            </w:r>
          </w:p>
        </w:tc>
        <w:tc>
          <w:tcPr>
            <w:tcW w:w="5419" w:type="dxa"/>
          </w:tcPr>
          <w:p w14:paraId="1E71B3FB" w14:textId="2C9964DD" w:rsidR="003666F1" w:rsidRDefault="00C761B6" w:rsidP="001149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Lokalizacja zabudowy mieszkaniowej wielorodzinnej o charakterze ekstensywnym jest zgodna z kierunkami zagospodarowania przestrzennego miasta wynikającymi z obwiązującego Studium uwarunkowań i kierunków zagospodarowania przestrzennego miasta </w:t>
            </w:r>
            <w:r w:rsidR="001149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i gminy Gołdap.   Biorąc pod uwagę wysokość zabudowy (do 3 kondygnacji) i niskie wskaźniki zabudowy należy uznać, ze projektowana zabudowa wielorodzinna nie będzie się znacząco różniła od zabudowy jednorodzinnej w układzie szeregowym. Ze względu na ukształtowanie terenu dachy projektowanej zabudowy będą zlokalizowane poniżej parteru zabudowy wielorodzinnej zlokalizowanej na skarpie przy </w:t>
            </w:r>
            <w:r w:rsidR="001149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ul. Padarewskiego.</w:t>
            </w:r>
          </w:p>
          <w:p w14:paraId="0B125963" w14:textId="13BF2FF4" w:rsidR="00C761B6" w:rsidRPr="00642EB7" w:rsidRDefault="00C761B6" w:rsidP="001149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ustaleń planu wynika, że dla ciągu pieszo-jezdnego KPJ.02 ustalono priorytet</w:t>
            </w:r>
            <w:r w:rsidR="007D72AB">
              <w:rPr>
                <w:sz w:val="18"/>
                <w:szCs w:val="18"/>
              </w:rPr>
              <w:t xml:space="preserve"> ruchu pieszego. Dojazd do terenu będzie realizowany z drogi publicznej oznaczonej symbolem KD.01 stanowiącej przedłużenie </w:t>
            </w:r>
            <w:r w:rsidR="00114926">
              <w:rPr>
                <w:sz w:val="18"/>
                <w:szCs w:val="18"/>
              </w:rPr>
              <w:br/>
            </w:r>
            <w:r w:rsidR="007D72AB">
              <w:rPr>
                <w:sz w:val="18"/>
                <w:szCs w:val="18"/>
              </w:rPr>
              <w:t xml:space="preserve">ul. Różanej – nie dopuszcza się innych rozwiązań komunikacyjnych. </w:t>
            </w:r>
          </w:p>
        </w:tc>
      </w:tr>
    </w:tbl>
    <w:p w14:paraId="31D02159" w14:textId="77777777" w:rsidR="003666F1" w:rsidRPr="00006CE6" w:rsidRDefault="003666F1" w:rsidP="00006CE6">
      <w:pPr>
        <w:jc w:val="right"/>
        <w:rPr>
          <w:rFonts w:cs="Times New Roman"/>
        </w:rPr>
      </w:pPr>
    </w:p>
    <w:sectPr w:rsidR="003666F1" w:rsidRPr="00006CE6" w:rsidSect="003666F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E6"/>
    <w:rsid w:val="00006CE6"/>
    <w:rsid w:val="00114926"/>
    <w:rsid w:val="00131D1F"/>
    <w:rsid w:val="00193F11"/>
    <w:rsid w:val="001F662B"/>
    <w:rsid w:val="002155E7"/>
    <w:rsid w:val="002F73C2"/>
    <w:rsid w:val="003666F1"/>
    <w:rsid w:val="00490370"/>
    <w:rsid w:val="00565AB5"/>
    <w:rsid w:val="0063594E"/>
    <w:rsid w:val="00786847"/>
    <w:rsid w:val="007D5996"/>
    <w:rsid w:val="007D72AB"/>
    <w:rsid w:val="00A250E9"/>
    <w:rsid w:val="00AC0EE5"/>
    <w:rsid w:val="00AE14A5"/>
    <w:rsid w:val="00B43703"/>
    <w:rsid w:val="00B71B0B"/>
    <w:rsid w:val="00BD2EFE"/>
    <w:rsid w:val="00BF4FEE"/>
    <w:rsid w:val="00C761B6"/>
    <w:rsid w:val="00CC4014"/>
    <w:rsid w:val="00D978BF"/>
    <w:rsid w:val="00E063FA"/>
    <w:rsid w:val="00F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6668"/>
  <w15:docId w15:val="{B399F887-B370-4CA7-BAF1-03817DE2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000000"/>
        <w:kern w:val="3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SimSun" w:hAnsi="Times New Roman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beata.kolakowska</cp:lastModifiedBy>
  <cp:revision>5</cp:revision>
  <dcterms:created xsi:type="dcterms:W3CDTF">2022-06-07T06:23:00Z</dcterms:created>
  <dcterms:modified xsi:type="dcterms:W3CDTF">2022-06-08T12:34:00Z</dcterms:modified>
</cp:coreProperties>
</file>