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DE" w:rsidRPr="003F21DE" w:rsidRDefault="003F21DE" w:rsidP="003F21DE">
      <w:pPr>
        <w:ind w:left="11328"/>
        <w:rPr>
          <w:rFonts w:eastAsia="Times New Roman"/>
          <w:bCs/>
          <w:sz w:val="20"/>
          <w:szCs w:val="20"/>
          <w:lang w:eastAsia="ar-SA"/>
        </w:rPr>
      </w:pPr>
      <w:r w:rsidRPr="003F21DE">
        <w:rPr>
          <w:rFonts w:eastAsia="Times New Roman"/>
          <w:bCs/>
          <w:sz w:val="20"/>
          <w:szCs w:val="20"/>
          <w:lang w:eastAsia="ar-SA"/>
        </w:rPr>
        <w:t>Załącznik nr 6</w:t>
      </w:r>
    </w:p>
    <w:p w:rsidR="003F21DE" w:rsidRPr="003F21DE" w:rsidRDefault="003F21DE" w:rsidP="003F21DE">
      <w:pPr>
        <w:pStyle w:val="NormalnyWeb"/>
        <w:spacing w:before="0" w:after="0"/>
        <w:ind w:left="11328"/>
        <w:rPr>
          <w:rFonts w:eastAsia="Times New Roman"/>
          <w:bCs/>
          <w:sz w:val="20"/>
          <w:szCs w:val="20"/>
          <w:lang w:eastAsia="ar-SA"/>
        </w:rPr>
      </w:pPr>
      <w:r w:rsidRPr="003F21DE">
        <w:rPr>
          <w:rFonts w:eastAsia="Times New Roman"/>
          <w:bCs/>
          <w:sz w:val="20"/>
          <w:szCs w:val="20"/>
          <w:lang w:eastAsia="ar-SA"/>
        </w:rPr>
        <w:t xml:space="preserve">do </w:t>
      </w:r>
      <w:r w:rsidR="00211DB0">
        <w:rPr>
          <w:rFonts w:eastAsia="Times New Roman"/>
          <w:bCs/>
          <w:sz w:val="20"/>
          <w:szCs w:val="20"/>
          <w:lang w:eastAsia="ar-SA"/>
        </w:rPr>
        <w:t>………………………..</w:t>
      </w:r>
    </w:p>
    <w:p w:rsidR="003F21DE" w:rsidRPr="003F21DE" w:rsidRDefault="003F21DE" w:rsidP="003F21DE">
      <w:pPr>
        <w:pStyle w:val="NormalnyWeb"/>
        <w:spacing w:before="0" w:after="0"/>
        <w:ind w:left="11328"/>
        <w:rPr>
          <w:rFonts w:eastAsia="Times New Roman"/>
          <w:bCs/>
          <w:sz w:val="20"/>
          <w:szCs w:val="20"/>
          <w:lang w:eastAsia="ar-SA"/>
        </w:rPr>
      </w:pPr>
      <w:r w:rsidRPr="003F21DE">
        <w:rPr>
          <w:rFonts w:eastAsia="Times New Roman"/>
          <w:bCs/>
          <w:sz w:val="20"/>
          <w:szCs w:val="20"/>
          <w:lang w:eastAsia="ar-SA"/>
        </w:rPr>
        <w:t xml:space="preserve">Rady Miejskiej w Gołdapi </w:t>
      </w:r>
    </w:p>
    <w:p w:rsidR="003F21DE" w:rsidRPr="003F21DE" w:rsidRDefault="003F21DE" w:rsidP="003F21DE">
      <w:pPr>
        <w:pStyle w:val="NormalnyWeb"/>
        <w:spacing w:before="0" w:after="0"/>
        <w:ind w:left="11328"/>
        <w:rPr>
          <w:rFonts w:eastAsia="Times New Roman"/>
          <w:bCs/>
          <w:sz w:val="20"/>
          <w:szCs w:val="20"/>
          <w:lang w:eastAsia="ar-SA"/>
        </w:rPr>
      </w:pPr>
      <w:r w:rsidRPr="003F21DE">
        <w:rPr>
          <w:rFonts w:eastAsia="Times New Roman"/>
          <w:bCs/>
          <w:sz w:val="20"/>
          <w:szCs w:val="20"/>
          <w:lang w:eastAsia="ar-SA"/>
        </w:rPr>
        <w:t xml:space="preserve">z dnia </w:t>
      </w:r>
      <w:r w:rsidR="00211DB0">
        <w:rPr>
          <w:rFonts w:eastAsia="Times New Roman"/>
          <w:bCs/>
          <w:sz w:val="20"/>
          <w:szCs w:val="20"/>
          <w:lang w:eastAsia="ar-SA"/>
        </w:rPr>
        <w:t>……………………</w:t>
      </w:r>
      <w:r w:rsidRPr="003F21DE">
        <w:rPr>
          <w:rFonts w:eastAsia="Times New Roman"/>
          <w:bCs/>
          <w:sz w:val="20"/>
          <w:szCs w:val="20"/>
          <w:lang w:eastAsia="ar-SA"/>
        </w:rPr>
        <w:t>.</w:t>
      </w:r>
    </w:p>
    <w:p w:rsidR="003F21DE" w:rsidRDefault="003F21DE" w:rsidP="003F21DE">
      <w:pPr>
        <w:ind w:left="5816"/>
        <w:jc w:val="center"/>
      </w:pPr>
    </w:p>
    <w:p w:rsidR="003F21DE" w:rsidRDefault="003F21DE" w:rsidP="003F21DE">
      <w:pPr>
        <w:ind w:left="11320"/>
        <w:rPr>
          <w:b/>
          <w:bCs/>
        </w:rPr>
      </w:pPr>
    </w:p>
    <w:p w:rsidR="003F21DE" w:rsidRDefault="007D5B62" w:rsidP="003F21DE">
      <w:pPr>
        <w:jc w:val="center"/>
        <w:rPr>
          <w:b/>
          <w:bCs/>
        </w:rPr>
      </w:pPr>
      <w:r>
        <w:rPr>
          <w:b/>
          <w:bCs/>
        </w:rPr>
        <w:t>ROZSTRZYGNIĘCIE O SPOSOBIE ROZPATRZENIA</w:t>
      </w:r>
      <w:r w:rsidR="003F21DE">
        <w:rPr>
          <w:b/>
          <w:bCs/>
        </w:rPr>
        <w:t xml:space="preserve"> UWAG DO PROJEKTU ZMIANY STUDIUM UWARUNKOWAŃ I KIERUNKÓW ZAGOSPODAROWANIA PRZESTRZENNEGO MIASTA I GMINY GOŁDAP</w:t>
      </w:r>
    </w:p>
    <w:p w:rsidR="003F21DE" w:rsidRDefault="003F21DE"/>
    <w:tbl>
      <w:tblPr>
        <w:tblW w:w="14742" w:type="dxa"/>
        <w:tblInd w:w="55" w:type="dxa"/>
        <w:tblLayout w:type="fixed"/>
        <w:tblCellMar>
          <w:top w:w="55" w:type="dxa"/>
          <w:left w:w="55" w:type="dxa"/>
          <w:bottom w:w="55" w:type="dxa"/>
          <w:right w:w="55" w:type="dxa"/>
        </w:tblCellMar>
        <w:tblLook w:val="0000" w:firstRow="0" w:lastRow="0" w:firstColumn="0" w:lastColumn="0" w:noHBand="0" w:noVBand="0"/>
      </w:tblPr>
      <w:tblGrid>
        <w:gridCol w:w="311"/>
        <w:gridCol w:w="780"/>
        <w:gridCol w:w="1177"/>
        <w:gridCol w:w="2674"/>
        <w:gridCol w:w="1153"/>
        <w:gridCol w:w="1623"/>
        <w:gridCol w:w="1219"/>
        <w:gridCol w:w="1219"/>
        <w:gridCol w:w="4586"/>
      </w:tblGrid>
      <w:tr w:rsidR="003F21DE" w:rsidRPr="003F21DE" w:rsidTr="003F21DE">
        <w:tc>
          <w:tcPr>
            <w:tcW w:w="311" w:type="dxa"/>
            <w:tcBorders>
              <w:top w:val="single" w:sz="1" w:space="0" w:color="000000"/>
              <w:left w:val="single" w:sz="1" w:space="0" w:color="000000"/>
              <w:bottom w:val="single" w:sz="1" w:space="0" w:color="000000"/>
            </w:tcBorders>
            <w:shd w:val="clear" w:color="auto" w:fill="auto"/>
          </w:tcPr>
          <w:p w:rsidR="003F21DE" w:rsidRPr="003F21DE" w:rsidRDefault="003F21DE" w:rsidP="003F21DE">
            <w:pPr>
              <w:snapToGrid w:val="0"/>
              <w:jc w:val="center"/>
              <w:rPr>
                <w:sz w:val="16"/>
                <w:szCs w:val="16"/>
              </w:rPr>
            </w:pPr>
            <w:proofErr w:type="spellStart"/>
            <w:r w:rsidRPr="003F21DE">
              <w:rPr>
                <w:sz w:val="16"/>
                <w:szCs w:val="16"/>
              </w:rPr>
              <w:t>Lp</w:t>
            </w:r>
            <w:proofErr w:type="spellEnd"/>
          </w:p>
        </w:tc>
        <w:tc>
          <w:tcPr>
            <w:tcW w:w="780"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Data wpływu uwagi</w:t>
            </w:r>
          </w:p>
        </w:tc>
        <w:tc>
          <w:tcPr>
            <w:tcW w:w="1177"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Nazwisko i imię, nazwa jednostki organizacyjnej i adres zgłaszającego uwagi</w:t>
            </w:r>
          </w:p>
        </w:tc>
        <w:tc>
          <w:tcPr>
            <w:tcW w:w="2674"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Treść uwagi</w:t>
            </w:r>
          </w:p>
        </w:tc>
        <w:tc>
          <w:tcPr>
            <w:tcW w:w="115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Oznaczenie nieruchomości, której dotyczy uwaga</w:t>
            </w:r>
          </w:p>
        </w:tc>
        <w:tc>
          <w:tcPr>
            <w:tcW w:w="162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Ustalenia projektu studium dla nieruchomości, której dotyczy uwaga</w:t>
            </w:r>
          </w:p>
        </w:tc>
        <w:tc>
          <w:tcPr>
            <w:tcW w:w="1219" w:type="dxa"/>
            <w:tcBorders>
              <w:top w:val="single" w:sz="1" w:space="0" w:color="000000"/>
              <w:left w:val="single" w:sz="1" w:space="0" w:color="000000"/>
              <w:bottom w:val="single" w:sz="1" w:space="0" w:color="000000"/>
              <w:right w:val="single" w:sz="1" w:space="0" w:color="000000"/>
            </w:tcBorders>
          </w:tcPr>
          <w:p w:rsidR="003F21DE" w:rsidRPr="003F21DE" w:rsidRDefault="003F21DE" w:rsidP="003941DE">
            <w:pPr>
              <w:snapToGrid w:val="0"/>
              <w:jc w:val="center"/>
              <w:rPr>
                <w:sz w:val="16"/>
                <w:szCs w:val="16"/>
              </w:rPr>
            </w:pPr>
            <w:r w:rsidRPr="003F21DE">
              <w:rPr>
                <w:sz w:val="16"/>
                <w:szCs w:val="16"/>
              </w:rPr>
              <w:t>Rozstrzygnięcie Burmistrza</w:t>
            </w:r>
          </w:p>
        </w:tc>
        <w:tc>
          <w:tcPr>
            <w:tcW w:w="1219"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jc w:val="center"/>
              <w:rPr>
                <w:sz w:val="16"/>
                <w:szCs w:val="16"/>
              </w:rPr>
            </w:pPr>
            <w:r w:rsidRPr="003F21DE">
              <w:rPr>
                <w:sz w:val="16"/>
                <w:szCs w:val="16"/>
              </w:rPr>
              <w:t>Rozstrzygnięcie Rady Miejskiej</w:t>
            </w:r>
          </w:p>
        </w:tc>
        <w:tc>
          <w:tcPr>
            <w:tcW w:w="4586" w:type="dxa"/>
            <w:tcBorders>
              <w:top w:val="single" w:sz="1" w:space="0" w:color="000000"/>
              <w:left w:val="single" w:sz="1" w:space="0" w:color="000000"/>
              <w:bottom w:val="single" w:sz="1" w:space="0" w:color="000000"/>
              <w:right w:val="single" w:sz="1" w:space="0" w:color="000000"/>
            </w:tcBorders>
            <w:shd w:val="clear" w:color="auto" w:fill="auto"/>
          </w:tcPr>
          <w:p w:rsidR="003F21DE" w:rsidRPr="003F21DE" w:rsidRDefault="003F21DE" w:rsidP="003941DE">
            <w:pPr>
              <w:snapToGrid w:val="0"/>
              <w:jc w:val="center"/>
              <w:rPr>
                <w:color w:val="000000"/>
                <w:sz w:val="16"/>
                <w:szCs w:val="16"/>
              </w:rPr>
            </w:pPr>
            <w:r w:rsidRPr="003F21DE">
              <w:rPr>
                <w:color w:val="000000"/>
                <w:sz w:val="16"/>
                <w:szCs w:val="16"/>
              </w:rPr>
              <w:t>Uzasadnienie</w:t>
            </w:r>
          </w:p>
        </w:tc>
      </w:tr>
      <w:tr w:rsidR="00211DB0" w:rsidRPr="003F21DE" w:rsidTr="00B57EC6">
        <w:tc>
          <w:tcPr>
            <w:tcW w:w="14742" w:type="dxa"/>
            <w:gridSpan w:val="9"/>
            <w:tcBorders>
              <w:top w:val="single" w:sz="1" w:space="0" w:color="000000"/>
              <w:left w:val="single" w:sz="1" w:space="0" w:color="000000"/>
              <w:bottom w:val="single" w:sz="1" w:space="0" w:color="000000"/>
              <w:right w:val="single" w:sz="1" w:space="0" w:color="000000"/>
            </w:tcBorders>
            <w:shd w:val="clear" w:color="auto" w:fill="auto"/>
          </w:tcPr>
          <w:p w:rsidR="00211DB0" w:rsidRPr="00211DB0" w:rsidRDefault="00211DB0" w:rsidP="003941DE">
            <w:pPr>
              <w:snapToGrid w:val="0"/>
              <w:jc w:val="center"/>
              <w:rPr>
                <w:b/>
                <w:color w:val="000000"/>
                <w:sz w:val="16"/>
                <w:szCs w:val="16"/>
              </w:rPr>
            </w:pPr>
            <w:r w:rsidRPr="00211DB0">
              <w:rPr>
                <w:b/>
                <w:color w:val="000000"/>
                <w:sz w:val="16"/>
                <w:szCs w:val="16"/>
              </w:rPr>
              <w:t>Uwagi z pierwszego wyłożenia</w:t>
            </w:r>
            <w:r>
              <w:rPr>
                <w:b/>
                <w:color w:val="000000"/>
                <w:sz w:val="16"/>
                <w:szCs w:val="16"/>
              </w:rPr>
              <w:t xml:space="preserve"> (2022)</w:t>
            </w:r>
          </w:p>
        </w:tc>
      </w:tr>
      <w:tr w:rsidR="003F21DE" w:rsidTr="003F21DE">
        <w:tc>
          <w:tcPr>
            <w:tcW w:w="311"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1</w:t>
            </w:r>
          </w:p>
        </w:tc>
        <w:tc>
          <w:tcPr>
            <w:tcW w:w="780"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08-09-2022</w:t>
            </w:r>
          </w:p>
        </w:tc>
        <w:tc>
          <w:tcPr>
            <w:tcW w:w="1177"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Piotr Pielach</w:t>
            </w:r>
          </w:p>
          <w:p w:rsidR="003F21DE" w:rsidRPr="003F21DE" w:rsidRDefault="003F21DE" w:rsidP="003941DE">
            <w:pPr>
              <w:snapToGrid w:val="0"/>
              <w:rPr>
                <w:sz w:val="18"/>
                <w:szCs w:val="18"/>
              </w:rPr>
            </w:pPr>
            <w:r w:rsidRPr="003F21DE">
              <w:rPr>
                <w:sz w:val="18"/>
                <w:szCs w:val="18"/>
              </w:rPr>
              <w:t>(adres w aktach sprawy)</w:t>
            </w:r>
          </w:p>
        </w:tc>
        <w:tc>
          <w:tcPr>
            <w:tcW w:w="2674"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Uwaga dotycząca zmiany przeznaczenia terenu działek nr 42/9 i 42/10 położonych w Gołdapi (obręb geodezyjny Gołdap1) z terenów zabudowy mieszkaniowej jednorodzinnej na tereny zieleni parkowej związanej z rozszerzeniem działalności Ośrodka Sportów i Rekreacji.</w:t>
            </w:r>
          </w:p>
          <w:p w:rsidR="003F21DE" w:rsidRPr="003F21DE" w:rsidRDefault="003F21DE" w:rsidP="003941DE">
            <w:pPr>
              <w:snapToGrid w:val="0"/>
              <w:rPr>
                <w:sz w:val="18"/>
                <w:szCs w:val="18"/>
              </w:rPr>
            </w:pPr>
          </w:p>
        </w:tc>
        <w:tc>
          <w:tcPr>
            <w:tcW w:w="115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dz. 42/9 i 42/10 obręb 0001 Gołdap</w:t>
            </w:r>
          </w:p>
        </w:tc>
        <w:tc>
          <w:tcPr>
            <w:tcW w:w="162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Tereny zabudowy wielofunkcyjnej o niskiej intensywności i tereny usługowe</w:t>
            </w:r>
          </w:p>
        </w:tc>
        <w:tc>
          <w:tcPr>
            <w:tcW w:w="1219" w:type="dxa"/>
            <w:tcBorders>
              <w:top w:val="single" w:sz="1" w:space="0" w:color="000000"/>
              <w:left w:val="single" w:sz="1" w:space="0" w:color="000000"/>
              <w:bottom w:val="single" w:sz="1" w:space="0" w:color="000000"/>
              <w:right w:val="single" w:sz="1" w:space="0" w:color="000000"/>
            </w:tcBorders>
          </w:tcPr>
          <w:p w:rsidR="003F21DE" w:rsidRPr="003F21DE" w:rsidRDefault="003F21DE" w:rsidP="003F21DE">
            <w:pPr>
              <w:snapToGrid w:val="0"/>
              <w:rPr>
                <w:sz w:val="18"/>
                <w:szCs w:val="18"/>
              </w:rPr>
            </w:pPr>
            <w:r>
              <w:rPr>
                <w:sz w:val="18"/>
                <w:szCs w:val="18"/>
              </w:rPr>
              <w:t>nieuwzględniona</w:t>
            </w:r>
          </w:p>
          <w:p w:rsidR="003F21DE" w:rsidRPr="003F21DE" w:rsidRDefault="003F21DE" w:rsidP="003941DE">
            <w:pPr>
              <w:snapToGrid w:val="0"/>
              <w:rPr>
                <w:sz w:val="18"/>
                <w:szCs w:val="18"/>
              </w:rPr>
            </w:pPr>
          </w:p>
        </w:tc>
        <w:tc>
          <w:tcPr>
            <w:tcW w:w="1219" w:type="dxa"/>
            <w:tcBorders>
              <w:top w:val="single" w:sz="1" w:space="0" w:color="000000"/>
              <w:left w:val="single" w:sz="1" w:space="0" w:color="000000"/>
              <w:bottom w:val="single" w:sz="1" w:space="0" w:color="000000"/>
            </w:tcBorders>
            <w:shd w:val="clear" w:color="auto" w:fill="auto"/>
          </w:tcPr>
          <w:p w:rsidR="003F21DE" w:rsidRPr="003F21DE" w:rsidRDefault="003F21DE" w:rsidP="007D5B62">
            <w:pPr>
              <w:snapToGrid w:val="0"/>
              <w:rPr>
                <w:sz w:val="18"/>
                <w:szCs w:val="18"/>
              </w:rPr>
            </w:pPr>
          </w:p>
        </w:tc>
        <w:tc>
          <w:tcPr>
            <w:tcW w:w="4586" w:type="dxa"/>
            <w:tcBorders>
              <w:top w:val="single" w:sz="1" w:space="0" w:color="000000"/>
              <w:left w:val="single" w:sz="1" w:space="0" w:color="000000"/>
              <w:bottom w:val="single" w:sz="1" w:space="0" w:color="000000"/>
              <w:right w:val="single" w:sz="1" w:space="0" w:color="000000"/>
            </w:tcBorders>
            <w:shd w:val="clear" w:color="auto" w:fill="auto"/>
          </w:tcPr>
          <w:p w:rsidR="003F21DE" w:rsidRPr="003F21DE" w:rsidRDefault="003F21DE" w:rsidP="003941DE">
            <w:pPr>
              <w:snapToGrid w:val="0"/>
              <w:rPr>
                <w:rFonts w:eastAsia="TimesNewRomanPSMT" w:cs="TimesNewRomanPSMT"/>
                <w:color w:val="000000"/>
                <w:sz w:val="18"/>
                <w:szCs w:val="18"/>
              </w:rPr>
            </w:pPr>
            <w:r w:rsidRPr="003F21DE">
              <w:rPr>
                <w:rFonts w:eastAsia="TimesNewRomanPSMT" w:cs="TimesNewRomanPSMT"/>
                <w:color w:val="000000"/>
                <w:sz w:val="18"/>
                <w:szCs w:val="18"/>
              </w:rPr>
              <w:t xml:space="preserve">Obecne kierunki rozwoju tej części miasta (przyjęte uchwałą z 2015 r.) jako tereny wielofunkcyjne o niskiej intensywności i tereny usługowe nie stoją w sprzeczności z zamierzeniami zgłoszonymi w uwadze. Należy wyjaśnić, że w Studium określa się kierunki rozwoju przestrzennego, które zostają doprecyzowane w miejscowym planie zagospodarowania przestrzennego. Rozwiązanie przyjęte w </w:t>
            </w:r>
            <w:proofErr w:type="spellStart"/>
            <w:r w:rsidRPr="003F21DE">
              <w:rPr>
                <w:rFonts w:eastAsia="TimesNewRomanPSMT" w:cs="TimesNewRomanPSMT"/>
                <w:color w:val="000000"/>
                <w:sz w:val="18"/>
                <w:szCs w:val="18"/>
              </w:rPr>
              <w:t>mpzp</w:t>
            </w:r>
            <w:proofErr w:type="spellEnd"/>
            <w:r w:rsidRPr="003F21DE">
              <w:rPr>
                <w:rFonts w:eastAsia="TimesNewRomanPSMT" w:cs="TimesNewRomanPSMT"/>
                <w:color w:val="000000"/>
                <w:sz w:val="18"/>
                <w:szCs w:val="18"/>
              </w:rPr>
              <w:t xml:space="preserve"> nie mogą być sprzeczny z ustaleniami studium. Przyjęte w studium rozwiązania umożliwiają zaprojektowanie zarówno terenów zabudowy mieszkaniowej, jak i usługowej, ale również terenów rekreacyjnych i sportowych, w tym zieleni urządzonej w ramach projektowanego osiedla o charakterze ekstensywnym. </w:t>
            </w:r>
          </w:p>
        </w:tc>
      </w:tr>
      <w:tr w:rsidR="003F21DE" w:rsidTr="003F21DE">
        <w:tc>
          <w:tcPr>
            <w:tcW w:w="311"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2</w:t>
            </w:r>
          </w:p>
        </w:tc>
        <w:tc>
          <w:tcPr>
            <w:tcW w:w="780"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12-09-2022</w:t>
            </w:r>
          </w:p>
        </w:tc>
        <w:tc>
          <w:tcPr>
            <w:tcW w:w="1177"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 xml:space="preserve">Maciej </w:t>
            </w:r>
            <w:proofErr w:type="spellStart"/>
            <w:r w:rsidRPr="003F21DE">
              <w:rPr>
                <w:sz w:val="18"/>
                <w:szCs w:val="18"/>
              </w:rPr>
              <w:t>Geromin</w:t>
            </w:r>
            <w:proofErr w:type="spellEnd"/>
            <w:r w:rsidRPr="003F21DE">
              <w:rPr>
                <w:sz w:val="18"/>
                <w:szCs w:val="18"/>
              </w:rPr>
              <w:t xml:space="preserve"> występujący jako pełnomocnik Bogusława </w:t>
            </w:r>
            <w:proofErr w:type="spellStart"/>
            <w:r w:rsidRPr="003F21DE">
              <w:rPr>
                <w:sz w:val="18"/>
                <w:szCs w:val="18"/>
              </w:rPr>
              <w:t>Gniedziejko</w:t>
            </w:r>
            <w:proofErr w:type="spellEnd"/>
          </w:p>
        </w:tc>
        <w:tc>
          <w:tcPr>
            <w:tcW w:w="2674"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 xml:space="preserve">Uwaga dotyczy uwzględniania w ustaleniach Studium możliwości prowadzenia działalności gospodarczej z zakresu wydobycia kopalin, na które składający uwagę będzie występował o koncesję. Ponadto składający uwagę wnosi o wprowadzenie w studium informacji o występowaniu złoża. Jako dowód na występowanie </w:t>
            </w:r>
            <w:r w:rsidRPr="003F21DE">
              <w:rPr>
                <w:sz w:val="18"/>
                <w:szCs w:val="18"/>
              </w:rPr>
              <w:lastRenderedPageBreak/>
              <w:t>złoża przedstawione zostały dokumenty załączone w uwadze, w tym między innymi: (1) Projekt robót geologicznych z grudnia 2021 r., (2) Decyzja Marszałka WM-W zatwierdzająca ww. projekt robót geologicznych, (3) Zgłoszenie robót geologicznych z marca 2022 r., (4) Opinia geologa z września 2022 r.</w:t>
            </w:r>
          </w:p>
        </w:tc>
        <w:tc>
          <w:tcPr>
            <w:tcW w:w="115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lastRenderedPageBreak/>
              <w:t>dz. 222/29 obręb 0001 Bałupiany</w:t>
            </w:r>
          </w:p>
        </w:tc>
        <w:tc>
          <w:tcPr>
            <w:tcW w:w="1623"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r w:rsidRPr="003F21DE">
              <w:rPr>
                <w:sz w:val="18"/>
                <w:szCs w:val="18"/>
              </w:rPr>
              <w:t>Tereny działalności gospodarczej</w:t>
            </w:r>
          </w:p>
        </w:tc>
        <w:tc>
          <w:tcPr>
            <w:tcW w:w="1219" w:type="dxa"/>
            <w:tcBorders>
              <w:top w:val="single" w:sz="1" w:space="0" w:color="000000"/>
              <w:left w:val="single" w:sz="1" w:space="0" w:color="000000"/>
              <w:bottom w:val="single" w:sz="1" w:space="0" w:color="000000"/>
              <w:right w:val="single" w:sz="1" w:space="0" w:color="000000"/>
            </w:tcBorders>
          </w:tcPr>
          <w:p w:rsidR="003F21DE" w:rsidRPr="003F21DE" w:rsidRDefault="003F21DE" w:rsidP="003941DE">
            <w:pPr>
              <w:snapToGrid w:val="0"/>
              <w:rPr>
                <w:sz w:val="18"/>
                <w:szCs w:val="18"/>
              </w:rPr>
            </w:pPr>
            <w:r w:rsidRPr="003F21DE">
              <w:rPr>
                <w:sz w:val="18"/>
                <w:szCs w:val="18"/>
              </w:rPr>
              <w:t>nieuwzględniona</w:t>
            </w:r>
          </w:p>
        </w:tc>
        <w:tc>
          <w:tcPr>
            <w:tcW w:w="1219" w:type="dxa"/>
            <w:tcBorders>
              <w:top w:val="single" w:sz="1" w:space="0" w:color="000000"/>
              <w:left w:val="single" w:sz="1" w:space="0" w:color="000000"/>
              <w:bottom w:val="single" w:sz="1" w:space="0" w:color="000000"/>
            </w:tcBorders>
            <w:shd w:val="clear" w:color="auto" w:fill="auto"/>
          </w:tcPr>
          <w:p w:rsidR="003F21DE" w:rsidRPr="003F21DE" w:rsidRDefault="003F21DE" w:rsidP="003941DE">
            <w:pPr>
              <w:snapToGrid w:val="0"/>
              <w:rPr>
                <w:sz w:val="18"/>
                <w:szCs w:val="18"/>
              </w:rPr>
            </w:pPr>
          </w:p>
        </w:tc>
        <w:tc>
          <w:tcPr>
            <w:tcW w:w="4586" w:type="dxa"/>
            <w:tcBorders>
              <w:top w:val="single" w:sz="1" w:space="0" w:color="000000"/>
              <w:left w:val="single" w:sz="1" w:space="0" w:color="000000"/>
              <w:bottom w:val="single" w:sz="1" w:space="0" w:color="000000"/>
              <w:right w:val="single" w:sz="1" w:space="0" w:color="000000"/>
            </w:tcBorders>
            <w:shd w:val="clear" w:color="auto" w:fill="auto"/>
          </w:tcPr>
          <w:p w:rsidR="003F21DE" w:rsidRPr="003F21DE" w:rsidRDefault="003F21DE" w:rsidP="003941DE">
            <w:pPr>
              <w:autoSpaceDE w:val="0"/>
              <w:autoSpaceDN w:val="0"/>
              <w:adjustRightInd w:val="0"/>
              <w:rPr>
                <w:color w:val="000000"/>
                <w:sz w:val="18"/>
                <w:szCs w:val="18"/>
              </w:rPr>
            </w:pPr>
            <w:r w:rsidRPr="003F21DE">
              <w:rPr>
                <w:color w:val="000000"/>
                <w:sz w:val="18"/>
                <w:szCs w:val="18"/>
              </w:rPr>
              <w:t xml:space="preserve">Zgodnie z ustaleniami obecnie obowiązującego Studium działka objęta uwagą zlokalizowana jest w obszarze oznaczonym jako „tereny działalności gospodarczej”, które należy rozumieć jako </w:t>
            </w:r>
            <w:r w:rsidRPr="003F21DE">
              <w:rPr>
                <w:i/>
                <w:color w:val="000000"/>
                <w:sz w:val="18"/>
                <w:szCs w:val="18"/>
              </w:rPr>
              <w:t>zabudowę związaną z produkcją, przetwórstwem, usługami rzemieślniczymi, handlem, innymi usługami oraz zabudowę magazynową i składową, a także towarzyszącą infrastrukturę techniczną i komunikację (Kierunki – str. 6)</w:t>
            </w:r>
            <w:r w:rsidRPr="003F21DE">
              <w:rPr>
                <w:color w:val="000000"/>
                <w:sz w:val="18"/>
                <w:szCs w:val="18"/>
              </w:rPr>
              <w:t xml:space="preserve">. W studium nie oznaczono na tych terenach obszarów występowania kruszyw naturalnych. W trakcie trwania procedury opracowania Studium nie były w tej </w:t>
            </w:r>
            <w:r w:rsidRPr="003F21DE">
              <w:rPr>
                <w:color w:val="000000"/>
                <w:sz w:val="18"/>
                <w:szCs w:val="18"/>
              </w:rPr>
              <w:lastRenderedPageBreak/>
              <w:t xml:space="preserve">sprawie składane żadne wnioski, pomimo że składający uwagę już w 2021 roku dysponował projektem robót geologicznych. </w:t>
            </w:r>
          </w:p>
          <w:p w:rsidR="003F21DE" w:rsidRPr="003F21DE" w:rsidRDefault="003F21DE" w:rsidP="003941DE">
            <w:pPr>
              <w:autoSpaceDE w:val="0"/>
              <w:autoSpaceDN w:val="0"/>
              <w:adjustRightInd w:val="0"/>
              <w:rPr>
                <w:color w:val="000000"/>
                <w:sz w:val="18"/>
                <w:szCs w:val="18"/>
              </w:rPr>
            </w:pPr>
            <w:r w:rsidRPr="003F21DE">
              <w:rPr>
                <w:color w:val="000000"/>
                <w:sz w:val="18"/>
                <w:szCs w:val="18"/>
              </w:rPr>
              <w:t xml:space="preserve">Zgodnie z art. 10 ust 1 ustawy o planowaniu i zagospodarowaniu przestrzennym w studium uwzględnia się uwarunkowania wynikające w szczególności z (pkt 11) występowania udokumentowanych złóż kopalin, zasobów wód podziemnych oraz udokumentowanych kompleksów podziemnego składowania dwutlenku węgla, (pkt 12) występowania terenów górniczych wyznaczonych na podstawie przepisów odrębnych. przedstawione przez składającego uwagę dokumenty (dowody) nie wskazują na wypełnienie żadnego z podanych wyżej warunków. Do momentu wyłożenia projektu studium do publicznego wglądu nie został dla działki objętej wnioskiem ustanowiony obszar górniczy i teren górniczy. Również opisane w uwadze złoże kruszyw naturalnych nie funkcjonuje w ewidencji złóż kruszyw naturalnych. Nie została również wydana koncesja na eksploatację złoża. Zgodnie z ustawą nie ma zatem podstaw do wprowadzenia do studium informacji dotyczących złoża lub terenu górniczego. </w:t>
            </w:r>
          </w:p>
          <w:p w:rsidR="003F21DE" w:rsidRPr="003F21DE" w:rsidRDefault="003F21DE" w:rsidP="003941DE">
            <w:pPr>
              <w:autoSpaceDE w:val="0"/>
              <w:autoSpaceDN w:val="0"/>
              <w:adjustRightInd w:val="0"/>
              <w:rPr>
                <w:color w:val="000000"/>
                <w:sz w:val="18"/>
                <w:szCs w:val="18"/>
              </w:rPr>
            </w:pPr>
            <w:r w:rsidRPr="003F21DE">
              <w:rPr>
                <w:color w:val="000000"/>
                <w:sz w:val="18"/>
                <w:szCs w:val="18"/>
              </w:rPr>
              <w:t>Dopiero po spełnieniu tych warunków możliwe będzie sporządzenie częściowej zmiany Studium i zaktualizowanie wykazu złóż i terenów górniczych. przypomnieć należy, że w 2019 r. Wojewoda Warmińsko – Mazurski Zarządzeniem Zastępczym z dnia 31 maja 2019 r. w sprawie wprowadzenia obszarów udokumentowanych złóż kopalin przeprowadził aktualizację  Studium uwarunkowań i kierunków zagospodarowania przestrzennego Miasta i Gminy Gołdap w tym zakresie.</w:t>
            </w:r>
          </w:p>
        </w:tc>
      </w:tr>
      <w:tr w:rsidR="00211DB0" w:rsidTr="008B3DB6">
        <w:tc>
          <w:tcPr>
            <w:tcW w:w="14742" w:type="dxa"/>
            <w:gridSpan w:val="9"/>
            <w:tcBorders>
              <w:top w:val="single" w:sz="1" w:space="0" w:color="000000"/>
              <w:left w:val="single" w:sz="1" w:space="0" w:color="000000"/>
              <w:bottom w:val="single" w:sz="1" w:space="0" w:color="000000"/>
              <w:right w:val="single" w:sz="1" w:space="0" w:color="000000"/>
            </w:tcBorders>
            <w:shd w:val="clear" w:color="auto" w:fill="auto"/>
          </w:tcPr>
          <w:p w:rsidR="00211DB0" w:rsidRPr="003F21DE" w:rsidRDefault="00211DB0" w:rsidP="00211DB0">
            <w:pPr>
              <w:snapToGrid w:val="0"/>
              <w:jc w:val="center"/>
              <w:rPr>
                <w:color w:val="000000"/>
                <w:sz w:val="18"/>
                <w:szCs w:val="18"/>
              </w:rPr>
            </w:pPr>
            <w:r w:rsidRPr="00211DB0">
              <w:rPr>
                <w:b/>
                <w:color w:val="000000"/>
                <w:sz w:val="16"/>
                <w:szCs w:val="16"/>
              </w:rPr>
              <w:lastRenderedPageBreak/>
              <w:t>Uwagi z ponownego wyłożenia</w:t>
            </w:r>
            <w:r>
              <w:rPr>
                <w:b/>
                <w:color w:val="000000"/>
                <w:sz w:val="16"/>
                <w:szCs w:val="16"/>
              </w:rPr>
              <w:t xml:space="preserve"> (2023)</w:t>
            </w:r>
          </w:p>
        </w:tc>
      </w:tr>
      <w:tr w:rsidR="00211DB0" w:rsidTr="003F21DE">
        <w:tc>
          <w:tcPr>
            <w:tcW w:w="311" w:type="dxa"/>
            <w:tcBorders>
              <w:top w:val="single" w:sz="1" w:space="0" w:color="000000"/>
              <w:left w:val="single" w:sz="1" w:space="0" w:color="000000"/>
              <w:bottom w:val="single" w:sz="1" w:space="0" w:color="000000"/>
            </w:tcBorders>
            <w:shd w:val="clear" w:color="auto" w:fill="auto"/>
          </w:tcPr>
          <w:p w:rsidR="00211DB0" w:rsidRPr="003F21DE" w:rsidRDefault="00211DB0" w:rsidP="003941DE">
            <w:pPr>
              <w:snapToGrid w:val="0"/>
              <w:rPr>
                <w:sz w:val="18"/>
                <w:szCs w:val="18"/>
              </w:rPr>
            </w:pPr>
            <w:r>
              <w:rPr>
                <w:sz w:val="18"/>
                <w:szCs w:val="18"/>
              </w:rPr>
              <w:t>1</w:t>
            </w:r>
          </w:p>
        </w:tc>
        <w:tc>
          <w:tcPr>
            <w:tcW w:w="780" w:type="dxa"/>
            <w:tcBorders>
              <w:top w:val="single" w:sz="1" w:space="0" w:color="000000"/>
              <w:left w:val="single" w:sz="1" w:space="0" w:color="000000"/>
              <w:bottom w:val="single" w:sz="1" w:space="0" w:color="000000"/>
            </w:tcBorders>
            <w:shd w:val="clear" w:color="auto" w:fill="auto"/>
          </w:tcPr>
          <w:p w:rsidR="00211DB0" w:rsidRPr="003F21DE" w:rsidRDefault="00211DB0" w:rsidP="003941DE">
            <w:pPr>
              <w:snapToGrid w:val="0"/>
              <w:rPr>
                <w:sz w:val="18"/>
                <w:szCs w:val="18"/>
              </w:rPr>
            </w:pPr>
            <w:r>
              <w:rPr>
                <w:sz w:val="18"/>
                <w:szCs w:val="18"/>
              </w:rPr>
              <w:t>03-02-2023</w:t>
            </w:r>
          </w:p>
        </w:tc>
        <w:tc>
          <w:tcPr>
            <w:tcW w:w="1177" w:type="dxa"/>
            <w:tcBorders>
              <w:top w:val="single" w:sz="1" w:space="0" w:color="000000"/>
              <w:left w:val="single" w:sz="1" w:space="0" w:color="000000"/>
              <w:bottom w:val="single" w:sz="1" w:space="0" w:color="000000"/>
            </w:tcBorders>
            <w:shd w:val="clear" w:color="auto" w:fill="auto"/>
          </w:tcPr>
          <w:p w:rsidR="00211DB0" w:rsidRPr="003F21DE" w:rsidRDefault="00211DB0" w:rsidP="003941DE">
            <w:pPr>
              <w:snapToGrid w:val="0"/>
              <w:rPr>
                <w:sz w:val="18"/>
                <w:szCs w:val="18"/>
              </w:rPr>
            </w:pPr>
            <w:r w:rsidRPr="003F21DE">
              <w:rPr>
                <w:sz w:val="18"/>
                <w:szCs w:val="18"/>
              </w:rPr>
              <w:t xml:space="preserve">Maciej </w:t>
            </w:r>
            <w:proofErr w:type="spellStart"/>
            <w:r w:rsidRPr="003F21DE">
              <w:rPr>
                <w:sz w:val="18"/>
                <w:szCs w:val="18"/>
              </w:rPr>
              <w:t>Geromin</w:t>
            </w:r>
            <w:proofErr w:type="spellEnd"/>
            <w:r w:rsidRPr="003F21DE">
              <w:rPr>
                <w:sz w:val="18"/>
                <w:szCs w:val="18"/>
              </w:rPr>
              <w:t xml:space="preserve"> występujący jako pełnomocnik Bogusława </w:t>
            </w:r>
            <w:proofErr w:type="spellStart"/>
            <w:r w:rsidRPr="003F21DE">
              <w:rPr>
                <w:sz w:val="18"/>
                <w:szCs w:val="18"/>
              </w:rPr>
              <w:t>Gniedziejko</w:t>
            </w:r>
            <w:proofErr w:type="spellEnd"/>
          </w:p>
        </w:tc>
        <w:tc>
          <w:tcPr>
            <w:tcW w:w="2674" w:type="dxa"/>
            <w:tcBorders>
              <w:top w:val="single" w:sz="1" w:space="0" w:color="000000"/>
              <w:left w:val="single" w:sz="1" w:space="0" w:color="000000"/>
              <w:bottom w:val="single" w:sz="1" w:space="0" w:color="000000"/>
            </w:tcBorders>
            <w:shd w:val="clear" w:color="auto" w:fill="auto"/>
          </w:tcPr>
          <w:p w:rsidR="00211DB0" w:rsidRPr="003F21DE" w:rsidRDefault="000E1A52" w:rsidP="000E1A52">
            <w:pPr>
              <w:snapToGrid w:val="0"/>
              <w:rPr>
                <w:sz w:val="18"/>
                <w:szCs w:val="18"/>
              </w:rPr>
            </w:pPr>
            <w:r>
              <w:rPr>
                <w:sz w:val="18"/>
                <w:szCs w:val="18"/>
              </w:rPr>
              <w:t>W</w:t>
            </w:r>
            <w:r w:rsidRPr="000E1A52">
              <w:rPr>
                <w:sz w:val="18"/>
                <w:szCs w:val="18"/>
              </w:rPr>
              <w:t>prowadzeni</w:t>
            </w:r>
            <w:r>
              <w:rPr>
                <w:sz w:val="18"/>
                <w:szCs w:val="18"/>
              </w:rPr>
              <w:t>e</w:t>
            </w:r>
            <w:r w:rsidRPr="000E1A52">
              <w:rPr>
                <w:sz w:val="18"/>
                <w:szCs w:val="18"/>
              </w:rPr>
              <w:t xml:space="preserve"> do ustaleń części I studium, pt. „Uwarunkowania zagospodarowania przestrzennego miasta i gminy Gołdap” oraz oznaczeni</w:t>
            </w:r>
            <w:r>
              <w:rPr>
                <w:sz w:val="18"/>
                <w:szCs w:val="18"/>
              </w:rPr>
              <w:t>e</w:t>
            </w:r>
            <w:r w:rsidRPr="000E1A52">
              <w:rPr>
                <w:sz w:val="18"/>
                <w:szCs w:val="18"/>
              </w:rPr>
              <w:t xml:space="preserve"> na rysunku zatytułowanym  „Uwarunkowania zagospodarowania przestrzennego miasta i gminy Gołdap” złoża kruszyw naturalnych na działce nr 222/29 w obrębie Bałupiany (występujące pod nazwą Bałupiany </w:t>
            </w:r>
            <w:r w:rsidRPr="000E1A52">
              <w:rPr>
                <w:sz w:val="18"/>
                <w:szCs w:val="18"/>
              </w:rPr>
              <w:lastRenderedPageBreak/>
              <w:t>IV).</w:t>
            </w:r>
          </w:p>
        </w:tc>
        <w:tc>
          <w:tcPr>
            <w:tcW w:w="1153" w:type="dxa"/>
            <w:tcBorders>
              <w:top w:val="single" w:sz="1" w:space="0" w:color="000000"/>
              <w:left w:val="single" w:sz="1" w:space="0" w:color="000000"/>
              <w:bottom w:val="single" w:sz="1" w:space="0" w:color="000000"/>
            </w:tcBorders>
            <w:shd w:val="clear" w:color="auto" w:fill="auto"/>
          </w:tcPr>
          <w:p w:rsidR="00211DB0" w:rsidRPr="003F21DE" w:rsidRDefault="00211DB0" w:rsidP="003941DE">
            <w:pPr>
              <w:snapToGrid w:val="0"/>
              <w:rPr>
                <w:sz w:val="18"/>
                <w:szCs w:val="18"/>
              </w:rPr>
            </w:pPr>
            <w:r w:rsidRPr="003F21DE">
              <w:rPr>
                <w:sz w:val="18"/>
                <w:szCs w:val="18"/>
              </w:rPr>
              <w:lastRenderedPageBreak/>
              <w:t>dz. 222/29 obręb 0001 Bałupiany</w:t>
            </w:r>
          </w:p>
        </w:tc>
        <w:tc>
          <w:tcPr>
            <w:tcW w:w="1623" w:type="dxa"/>
            <w:tcBorders>
              <w:top w:val="single" w:sz="1" w:space="0" w:color="000000"/>
              <w:left w:val="single" w:sz="1" w:space="0" w:color="000000"/>
              <w:bottom w:val="single" w:sz="1" w:space="0" w:color="000000"/>
            </w:tcBorders>
            <w:shd w:val="clear" w:color="auto" w:fill="auto"/>
          </w:tcPr>
          <w:p w:rsidR="00211DB0" w:rsidRPr="003F21DE" w:rsidRDefault="00211DB0" w:rsidP="00211DB0">
            <w:pPr>
              <w:snapToGrid w:val="0"/>
              <w:rPr>
                <w:sz w:val="18"/>
                <w:szCs w:val="18"/>
              </w:rPr>
            </w:pPr>
            <w:r w:rsidRPr="003F21DE">
              <w:rPr>
                <w:sz w:val="18"/>
                <w:szCs w:val="18"/>
              </w:rPr>
              <w:t>Tereny działalności gospodarczej</w:t>
            </w:r>
            <w:r>
              <w:rPr>
                <w:sz w:val="18"/>
                <w:szCs w:val="18"/>
              </w:rPr>
              <w:t xml:space="preserve"> / złoże kruszyw naturalnych</w:t>
            </w:r>
          </w:p>
        </w:tc>
        <w:tc>
          <w:tcPr>
            <w:tcW w:w="1219" w:type="dxa"/>
            <w:tcBorders>
              <w:top w:val="single" w:sz="1" w:space="0" w:color="000000"/>
              <w:left w:val="single" w:sz="1" w:space="0" w:color="000000"/>
              <w:bottom w:val="single" w:sz="1" w:space="0" w:color="000000"/>
              <w:right w:val="single" w:sz="1" w:space="0" w:color="000000"/>
            </w:tcBorders>
          </w:tcPr>
          <w:p w:rsidR="00211DB0" w:rsidRPr="003F21DE" w:rsidRDefault="00211DB0" w:rsidP="003941DE">
            <w:pPr>
              <w:snapToGrid w:val="0"/>
              <w:rPr>
                <w:sz w:val="18"/>
                <w:szCs w:val="18"/>
              </w:rPr>
            </w:pPr>
            <w:r>
              <w:rPr>
                <w:sz w:val="18"/>
                <w:szCs w:val="18"/>
              </w:rPr>
              <w:t>uwzględniona</w:t>
            </w:r>
          </w:p>
        </w:tc>
        <w:tc>
          <w:tcPr>
            <w:tcW w:w="1219" w:type="dxa"/>
            <w:tcBorders>
              <w:top w:val="single" w:sz="1" w:space="0" w:color="000000"/>
              <w:left w:val="single" w:sz="1" w:space="0" w:color="000000"/>
              <w:bottom w:val="single" w:sz="1" w:space="0" w:color="000000"/>
            </w:tcBorders>
            <w:shd w:val="clear" w:color="auto" w:fill="auto"/>
          </w:tcPr>
          <w:p w:rsidR="00211DB0" w:rsidRPr="003F21DE" w:rsidRDefault="00211DB0" w:rsidP="003941DE">
            <w:pPr>
              <w:snapToGrid w:val="0"/>
              <w:rPr>
                <w:sz w:val="18"/>
                <w:szCs w:val="18"/>
              </w:rPr>
            </w:pPr>
          </w:p>
        </w:tc>
        <w:tc>
          <w:tcPr>
            <w:tcW w:w="4586" w:type="dxa"/>
            <w:tcBorders>
              <w:top w:val="single" w:sz="1" w:space="0" w:color="000000"/>
              <w:left w:val="single" w:sz="1" w:space="0" w:color="000000"/>
              <w:bottom w:val="single" w:sz="1" w:space="0" w:color="000000"/>
              <w:right w:val="single" w:sz="1" w:space="0" w:color="000000"/>
            </w:tcBorders>
            <w:shd w:val="clear" w:color="auto" w:fill="auto"/>
          </w:tcPr>
          <w:p w:rsidR="00211DB0" w:rsidRPr="003F21DE" w:rsidRDefault="000E1A52" w:rsidP="000E1A52">
            <w:pPr>
              <w:autoSpaceDE w:val="0"/>
              <w:autoSpaceDN w:val="0"/>
              <w:adjustRightInd w:val="0"/>
              <w:rPr>
                <w:color w:val="000000"/>
                <w:sz w:val="18"/>
                <w:szCs w:val="18"/>
              </w:rPr>
            </w:pPr>
            <w:r w:rsidRPr="000E1A52">
              <w:rPr>
                <w:color w:val="000000"/>
                <w:sz w:val="18"/>
                <w:szCs w:val="18"/>
              </w:rPr>
              <w:t xml:space="preserve">W projekcie zmiany Studium uwarunkowań i kierunków zagospodarowania przestrzennego miasta i gminy Gołdap, opisane w uwadze złoże Bałupiany IV zostało oznaczone na rysunku pt. „Kierunki zagospodarowania przestrzennego”  obejmującym obszar gminy Gołdap oraz wskazane w części tekstowej pt. „Kierunki zagospodarowania przestrzennego”. Granice złoża zostały również oznaczone na rysunku obejmującym uwarunkowania zagospodarowania przestrzennego – nie oznaczono tylko ID złoża. Biorąc powyższe pod uwagę postanowiono uzupełnić projekt studium o brakujące oznaczenia ID złoża oraz brakujące dane </w:t>
            </w:r>
            <w:r w:rsidRPr="000E1A52">
              <w:rPr>
                <w:color w:val="000000"/>
                <w:sz w:val="18"/>
                <w:szCs w:val="18"/>
              </w:rPr>
              <w:lastRenderedPageBreak/>
              <w:t>w tekście dotyczącym uwarunkowań zagospodarowania przestrzennego miasta i gminy Gołdap.</w:t>
            </w:r>
          </w:p>
        </w:tc>
      </w:tr>
    </w:tbl>
    <w:p w:rsidR="003F21DE" w:rsidRDefault="003F21DE"/>
    <w:p w:rsidR="007D5B62" w:rsidRDefault="007D5B62" w:rsidP="007D5B62">
      <w:pPr>
        <w:jc w:val="right"/>
        <w:rPr>
          <w:sz w:val="16"/>
          <w:szCs w:val="16"/>
        </w:rPr>
      </w:pPr>
    </w:p>
    <w:p w:rsidR="007D5B62" w:rsidRDefault="007D5B62" w:rsidP="007D5B62">
      <w:pPr>
        <w:jc w:val="right"/>
        <w:rPr>
          <w:sz w:val="16"/>
          <w:szCs w:val="16"/>
        </w:rPr>
      </w:pPr>
    </w:p>
    <w:p w:rsidR="007D5B62" w:rsidRDefault="007D5B62" w:rsidP="007D5B62">
      <w:pPr>
        <w:jc w:val="right"/>
        <w:rPr>
          <w:sz w:val="16"/>
          <w:szCs w:val="16"/>
        </w:rPr>
      </w:pPr>
    </w:p>
    <w:p w:rsidR="007D5B62" w:rsidRDefault="007D5B62" w:rsidP="007D5B62">
      <w:pPr>
        <w:jc w:val="right"/>
        <w:rPr>
          <w:sz w:val="16"/>
          <w:szCs w:val="16"/>
        </w:rPr>
      </w:pPr>
    </w:p>
    <w:p w:rsidR="007D5B62" w:rsidRDefault="007D5B62" w:rsidP="007D5B62">
      <w:pPr>
        <w:jc w:val="right"/>
        <w:rPr>
          <w:sz w:val="16"/>
          <w:szCs w:val="16"/>
        </w:rPr>
      </w:pPr>
    </w:p>
    <w:p w:rsidR="007D5B62" w:rsidRDefault="007D5B62" w:rsidP="007D5B62">
      <w:pPr>
        <w:jc w:val="right"/>
        <w:rPr>
          <w:sz w:val="16"/>
          <w:szCs w:val="16"/>
        </w:rPr>
      </w:pPr>
      <w:r>
        <w:rPr>
          <w:sz w:val="16"/>
          <w:szCs w:val="16"/>
        </w:rPr>
        <w:t>………………………………………..</w:t>
      </w:r>
    </w:p>
    <w:p w:rsidR="007D5B62" w:rsidRPr="007D5B62" w:rsidRDefault="007D5B62" w:rsidP="007D5B62">
      <w:pPr>
        <w:jc w:val="right"/>
        <w:rPr>
          <w:sz w:val="16"/>
          <w:szCs w:val="16"/>
        </w:rPr>
      </w:pPr>
      <w:r w:rsidRPr="007D5B62">
        <w:rPr>
          <w:sz w:val="16"/>
          <w:szCs w:val="16"/>
        </w:rPr>
        <w:t>Burmistrz</w:t>
      </w:r>
      <w:bookmarkStart w:id="0" w:name="_GoBack"/>
      <w:bookmarkEnd w:id="0"/>
    </w:p>
    <w:sectPr w:rsidR="007D5B62" w:rsidRPr="007D5B62" w:rsidSect="003F21D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TimesNewRomanPSMT">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DE"/>
    <w:rsid w:val="000E1A52"/>
    <w:rsid w:val="001F662B"/>
    <w:rsid w:val="00211DB0"/>
    <w:rsid w:val="003F21DE"/>
    <w:rsid w:val="00794C0D"/>
    <w:rsid w:val="007D5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Calibri Light"/>
        <w:color w:val="000000"/>
        <w:kern w:val="3"/>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1DE"/>
    <w:pPr>
      <w:widowControl w:val="0"/>
      <w:suppressAutoHyphens/>
    </w:pPr>
    <w:rPr>
      <w:rFonts w:ascii="Times New Roman" w:eastAsia="SimSun" w:hAnsi="Times New Roman" w:cs="Arial"/>
      <w:color w:val="auto"/>
      <w:kern w:val="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3F21DE"/>
    <w:pPr>
      <w:spacing w:before="280" w:after="119"/>
    </w:pPr>
    <w:rPr>
      <w:rFonts w:eastAsia="Andale Sans UI" w:cs="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Calibri Light"/>
        <w:color w:val="000000"/>
        <w:kern w:val="3"/>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1DE"/>
    <w:pPr>
      <w:widowControl w:val="0"/>
      <w:suppressAutoHyphens/>
    </w:pPr>
    <w:rPr>
      <w:rFonts w:ascii="Times New Roman" w:eastAsia="SimSun" w:hAnsi="Times New Roman" w:cs="Arial"/>
      <w:color w:val="auto"/>
      <w:kern w:val="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3F21DE"/>
    <w:pPr>
      <w:spacing w:before="280" w:after="119"/>
    </w:pPr>
    <w:rPr>
      <w:rFonts w:eastAsia="Andale Sans UI"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821</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Krajnik-Kowalska</cp:lastModifiedBy>
  <cp:revision>6</cp:revision>
  <cp:lastPrinted>2022-10-03T14:06:00Z</cp:lastPrinted>
  <dcterms:created xsi:type="dcterms:W3CDTF">2022-09-13T11:41:00Z</dcterms:created>
  <dcterms:modified xsi:type="dcterms:W3CDTF">2023-04-02T19:17:00Z</dcterms:modified>
</cp:coreProperties>
</file>