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BE1B" w14:textId="77777777" w:rsidR="001D1BED" w:rsidRDefault="00000000">
      <w:r>
        <w:rPr>
          <w:b/>
        </w:rPr>
        <w:t>ZP-WIK.271.25.2022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</w:t>
      </w:r>
      <w:r>
        <w:rPr>
          <w:b/>
        </w:rPr>
        <w:t>Gołd</w:t>
      </w:r>
      <w:r>
        <w:rPr>
          <w:b/>
          <w:shd w:val="clear" w:color="auto" w:fill="FFFFFF"/>
        </w:rPr>
        <w:t>ap, dn. 27.09.2022 r.</w:t>
      </w:r>
    </w:p>
    <w:p w14:paraId="4A4AD29F" w14:textId="77777777" w:rsidR="001D1BED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337EFC2C" w14:textId="77777777" w:rsidR="001D1BED" w:rsidRDefault="00000000">
      <w:pPr>
        <w:jc w:val="center"/>
      </w:pPr>
      <w:r>
        <w:rPr>
          <w:b/>
        </w:rPr>
        <w:t>o wyborze najkorzystniejszej oferty</w:t>
      </w:r>
    </w:p>
    <w:p w14:paraId="299CF8BB" w14:textId="77777777" w:rsidR="001D1BED" w:rsidRDefault="001D1BED">
      <w:pPr>
        <w:pStyle w:val="Standard"/>
      </w:pPr>
    </w:p>
    <w:p w14:paraId="05FEE21F" w14:textId="77777777" w:rsidR="001D1BED" w:rsidRDefault="00000000">
      <w:pPr>
        <w:jc w:val="both"/>
      </w:pPr>
      <w:r>
        <w:rPr>
          <w:rFonts w:cs="Tahoma"/>
        </w:rPr>
        <w:tab/>
        <w:t xml:space="preserve">Gmina Gołdap reprezentowana przez Burmistrza Gołdapi, na podstawie art. 253 ust. 1 pkt 1) Ustawy z dnia 11 września 2019 r. Prawo Zamówień Publicznych (t.j.: Dz. U. z 2022 r., poz. 1710 ze zm.), informuje, że w wyniku prowadzonego postępowania o udzielenie zamówienia publicznego w trybie podstawowym bez negocjacji w przedmiocie </w:t>
      </w:r>
      <w:r>
        <w:rPr>
          <w:rFonts w:cs="Tahoma"/>
          <w:b/>
          <w:bCs/>
        </w:rPr>
        <w:t>budowy ścieżki pieszo - rowerowej, między ulicą Konstytucji 3 Maja, a ulicą Wojska Polskiego w Gołdapi</w:t>
      </w:r>
      <w:r>
        <w:rPr>
          <w:rFonts w:cs="Tahoma"/>
        </w:rPr>
        <w:t>, oferta złożona przez</w:t>
      </w:r>
      <w:r>
        <w:rPr>
          <w:rFonts w:eastAsia="Tahoma" w:cs="Times New Roman"/>
          <w:b/>
          <w:bCs/>
        </w:rPr>
        <w:t>:</w:t>
      </w:r>
    </w:p>
    <w:p w14:paraId="1E357DFB" w14:textId="77777777" w:rsidR="001D1BED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b/>
          <w:bCs/>
          <w:color w:val="000000"/>
          <w:lang/>
        </w:rPr>
      </w:pPr>
      <w:r>
        <w:rPr>
          <w:rFonts w:eastAsia="Tahoma" w:cs="Tahoma"/>
          <w:b/>
          <w:bCs/>
          <w:color w:val="000000"/>
          <w:lang/>
        </w:rPr>
        <w:t>Przedsiębiorstwo Gospodarki Komunalnej Sp. z o.o.</w:t>
      </w:r>
    </w:p>
    <w:p w14:paraId="052EBAF0" w14:textId="77777777" w:rsidR="001D1BED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</w:rPr>
      </w:pPr>
      <w:r>
        <w:rPr>
          <w:rFonts w:eastAsia="Tahoma" w:cs="Times New Roman"/>
          <w:b/>
          <w:bCs/>
          <w:color w:val="000000"/>
          <w:lang/>
        </w:rPr>
        <w:t xml:space="preserve">z siedzibą w Gołdapi (19-500) przy ulicy </w:t>
      </w:r>
      <w:r>
        <w:rPr>
          <w:rFonts w:eastAsia="Tahoma" w:cs="Tahoma"/>
          <w:b/>
          <w:bCs/>
          <w:color w:val="000000"/>
          <w:lang/>
        </w:rPr>
        <w:t>Konstytucji 3-go Maja 1A</w:t>
      </w:r>
      <w:r>
        <w:rPr>
          <w:rFonts w:eastAsia="Tahoma" w:cs="Times New Roman"/>
          <w:b/>
        </w:rPr>
        <w:t xml:space="preserve">, NIP </w:t>
      </w:r>
      <w:r>
        <w:rPr>
          <w:rFonts w:eastAsia="Tahoma" w:cs="Tahoma"/>
          <w:b/>
          <w:bCs/>
          <w:color w:val="000000"/>
          <w:shd w:val="clear" w:color="auto" w:fill="FFFFFF"/>
          <w:lang w:eastAsia="ar-SA"/>
        </w:rPr>
        <w:t>8470000421</w:t>
      </w:r>
    </w:p>
    <w:p w14:paraId="6CC637DE" w14:textId="77777777" w:rsidR="001D1BED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 oraz okres gwarancji, określonych w dokumentach zamówienia, jako kryteria oceny ofert:</w:t>
      </w:r>
    </w:p>
    <w:p w14:paraId="0B5A1FB6" w14:textId="77777777" w:rsidR="001D1BED" w:rsidRDefault="00000000">
      <w:pPr>
        <w:pStyle w:val="Standard"/>
        <w:widowControl/>
        <w:numPr>
          <w:ilvl w:val="0"/>
          <w:numId w:val="40"/>
        </w:numPr>
      </w:pPr>
      <w:r>
        <w:rPr>
          <w:rFonts w:cs="Tahoma"/>
          <w:b/>
          <w:bCs/>
        </w:rPr>
        <w:t>cena ofertowa – 179</w:t>
      </w:r>
      <w:r>
        <w:rPr>
          <w:rFonts w:eastAsia="Tahoma" w:cs="Tahoma"/>
          <w:b/>
          <w:bCs/>
        </w:rPr>
        <w:t> 325,27</w:t>
      </w:r>
      <w:r>
        <w:rPr>
          <w:rFonts w:cs="Tahoma"/>
          <w:b/>
          <w:bCs/>
        </w:rPr>
        <w:t xml:space="preserve"> zł brutto</w:t>
      </w:r>
    </w:p>
    <w:p w14:paraId="1B7F3780" w14:textId="77777777" w:rsidR="001D1BED" w:rsidRDefault="00000000">
      <w:pPr>
        <w:pStyle w:val="Standard"/>
        <w:widowControl/>
        <w:numPr>
          <w:ilvl w:val="0"/>
          <w:numId w:val="33"/>
        </w:numPr>
      </w:pPr>
      <w:r>
        <w:rPr>
          <w:rFonts w:eastAsia="Tahoma" w:cs="Tahoma"/>
          <w:b/>
          <w:bCs/>
        </w:rPr>
        <w:t>okres gwarancji – 60 miesięcy</w:t>
      </w:r>
    </w:p>
    <w:p w14:paraId="7A80EDAE" w14:textId="77777777" w:rsidR="001D1BED" w:rsidRDefault="00000000">
      <w:pPr>
        <w:pStyle w:val="Standard"/>
        <w:widowControl/>
      </w:pPr>
      <w:r>
        <w:rPr>
          <w:rFonts w:eastAsia="Tahoma" w:cs="Tahoma"/>
          <w:bCs/>
          <w:sz w:val="16"/>
          <w:szCs w:val="16"/>
        </w:rPr>
        <w:t xml:space="preserve">               </w:t>
      </w:r>
    </w:p>
    <w:p w14:paraId="3F2B37A7" w14:textId="77777777" w:rsidR="001D1BED" w:rsidRDefault="00000000">
      <w:pPr>
        <w:pStyle w:val="Textbody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Ocena złożonych ofert zawierająca przyznaną punktację w każdym kryterium oceny ofert i łączną punktację:</w:t>
      </w:r>
    </w:p>
    <w:tbl>
      <w:tblPr>
        <w:tblW w:w="149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709"/>
        <w:gridCol w:w="4377"/>
        <w:gridCol w:w="2100"/>
        <w:gridCol w:w="2009"/>
        <w:gridCol w:w="2073"/>
        <w:gridCol w:w="2034"/>
        <w:gridCol w:w="1072"/>
      </w:tblGrid>
      <w:tr w:rsidR="001D1BED" w14:paraId="52B58739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2DCDA" w14:textId="77777777" w:rsidR="001D1BED" w:rsidRDefault="001D1BE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0DF9993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1351FA" w14:textId="77777777" w:rsidR="001D1BED" w:rsidRDefault="001D1BE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293CB8CA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Nr</w:t>
            </w:r>
          </w:p>
          <w:p w14:paraId="1989F67A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43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158AC" w14:textId="77777777" w:rsidR="001D1BED" w:rsidRDefault="001D1BED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  <w:p w14:paraId="00739ABA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Wykonawcy</w:t>
            </w:r>
          </w:p>
        </w:tc>
        <w:tc>
          <w:tcPr>
            <w:tcW w:w="41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375AF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cena - 60%</w:t>
            </w:r>
          </w:p>
        </w:tc>
        <w:tc>
          <w:tcPr>
            <w:tcW w:w="4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6A98C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Kryterium – okres gwarancji  zadeklarowany w ofercie (w miesiącach) - 40%</w:t>
            </w:r>
          </w:p>
        </w:tc>
        <w:tc>
          <w:tcPr>
            <w:tcW w:w="10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31F54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Łączna punktacja</w:t>
            </w:r>
          </w:p>
        </w:tc>
      </w:tr>
      <w:tr w:rsidR="001D1BED" w14:paraId="51C7ACB2" w14:textId="7777777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167E8" w14:textId="77777777" w:rsidR="00000000" w:rsidRDefault="00000000"/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BF830" w14:textId="77777777" w:rsidR="00000000" w:rsidRDefault="00000000"/>
        </w:tc>
        <w:tc>
          <w:tcPr>
            <w:tcW w:w="43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D1929" w14:textId="77777777" w:rsidR="00000000" w:rsidRDefault="00000000"/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B1DED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7D375" w14:textId="77777777" w:rsidR="001D1BED" w:rsidRDefault="00000000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7F87C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Ilość zadeklarowana w ofercie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483BC" w14:textId="77777777" w:rsidR="001D1BED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0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3EC992" w14:textId="77777777" w:rsidR="00000000" w:rsidRDefault="00000000"/>
        </w:tc>
      </w:tr>
      <w:tr w:rsidR="001D1BED" w14:paraId="73D6C672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90D84" w14:textId="77777777" w:rsidR="001D1BE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86D86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1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E8F29" w14:textId="77777777" w:rsidR="001D1BED" w:rsidRDefault="00000000">
            <w:pPr>
              <w:pStyle w:val="Standard"/>
              <w:tabs>
                <w:tab w:val="center" w:pos="9381"/>
                <w:tab w:val="right" w:pos="13917"/>
              </w:tabs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  <w:t>Przedsiębiorstwo Gospodarki Komunalnej Sp. z o.o.</w:t>
            </w:r>
          </w:p>
          <w:p w14:paraId="2666FDCD" w14:textId="77777777" w:rsidR="001D1BED" w:rsidRDefault="00000000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ul. </w:t>
            </w: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  <w:t>Konstytucji 3-go Maja 1A</w:t>
            </w: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>, 19-500 Gołdap</w:t>
            </w:r>
          </w:p>
          <w:p w14:paraId="58235625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eastAsia="Tahoma" w:cs="Tahoma"/>
                <w:sz w:val="20"/>
                <w:szCs w:val="20"/>
                <w:shd w:val="clear" w:color="auto" w:fill="FFFFFF"/>
              </w:rPr>
              <w:t xml:space="preserve">NIP </w:t>
            </w: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 w:eastAsia="ar-SA"/>
              </w:rPr>
              <w:t>847 000 04 21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CBDE1" w14:textId="77777777" w:rsidR="001D1BED" w:rsidRDefault="00000000">
            <w:pPr>
              <w:pStyle w:val="TableContents"/>
              <w:jc w:val="center"/>
            </w:pPr>
            <w:r>
              <w:t>179 325,27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D44EB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9BF97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7E3FE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23C79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100,00</w:t>
            </w:r>
          </w:p>
        </w:tc>
      </w:tr>
      <w:tr w:rsidR="001D1BED" w14:paraId="6FD5B7EA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7F11D" w14:textId="77777777" w:rsidR="001D1BE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99604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2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CDEEF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TOP-KOP Krzysztof Świtaj</w:t>
            </w:r>
          </w:p>
          <w:p w14:paraId="25415B9B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Niedrzwica, ul. Graniczna 3</w:t>
            </w:r>
          </w:p>
          <w:p w14:paraId="5764088C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19-500 Gołdap</w:t>
            </w:r>
          </w:p>
          <w:p w14:paraId="33A8C863" w14:textId="77777777" w:rsidR="001D1BED" w:rsidRDefault="00000000">
            <w:pPr>
              <w:pStyle w:val="Standard"/>
              <w:tabs>
                <w:tab w:val="center" w:pos="9381"/>
                <w:tab w:val="right" w:pos="13917"/>
              </w:tabs>
              <w:jc w:val="both"/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shd w:val="clear" w:color="auto" w:fill="FFFFFF"/>
                <w:lang/>
              </w:rPr>
              <w:t>NIP 847 152 43 10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C5C86" w14:textId="77777777" w:rsidR="001D1BED" w:rsidRDefault="00000000">
            <w:pPr>
              <w:pStyle w:val="TableContents"/>
              <w:jc w:val="center"/>
            </w:pPr>
            <w:r>
              <w:t>217 448,59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16635B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49,48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EEA2CE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E87F57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A29E2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89,48</w:t>
            </w:r>
          </w:p>
        </w:tc>
      </w:tr>
      <w:tr w:rsidR="001D1BED" w14:paraId="1C333D13" w14:textId="77777777">
        <w:tblPrEx>
          <w:tblCellMar>
            <w:top w:w="0" w:type="dxa"/>
            <w:bottom w:w="0" w:type="dxa"/>
          </w:tblCellMar>
        </w:tblPrEx>
        <w:tc>
          <w:tcPr>
            <w:tcW w:w="562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D6CAA" w14:textId="77777777" w:rsidR="001D1BED" w:rsidRDefault="00000000">
            <w:pPr>
              <w:pStyle w:val="TableContents"/>
              <w:jc w:val="center"/>
              <w:rPr>
                <w:rFonts w:eastAsia="Tahoma" w:cs="Tahoma"/>
              </w:rPr>
            </w:pPr>
            <w:r>
              <w:rPr>
                <w:rFonts w:eastAsia="Tahoma" w:cs="Tahoma"/>
              </w:rPr>
              <w:t>3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3E9BE3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</w:rPr>
            </w:pPr>
            <w:r>
              <w:rPr>
                <w:rFonts w:eastAsia="Tahoma" w:cs="Tahoma"/>
                <w:b/>
              </w:rPr>
              <w:t>3</w:t>
            </w:r>
          </w:p>
        </w:tc>
        <w:tc>
          <w:tcPr>
            <w:tcW w:w="4377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F1D1F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PBO Kazimierz Karwowski</w:t>
            </w:r>
          </w:p>
          <w:p w14:paraId="3D3CF6F1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ul. Polna 2A</w:t>
            </w:r>
          </w:p>
          <w:p w14:paraId="66DA5CBB" w14:textId="77777777" w:rsidR="001D1BED" w:rsidRDefault="00000000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19-500 Gołdap</w:t>
            </w:r>
          </w:p>
          <w:p w14:paraId="62246253" w14:textId="77777777" w:rsidR="001D1BED" w:rsidRDefault="00000000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 xml:space="preserve">NIP </w:t>
            </w:r>
            <w:r>
              <w:rPr>
                <w:sz w:val="20"/>
                <w:szCs w:val="20"/>
              </w:rPr>
              <w:t>847 121 68 09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DCF5AD" w14:textId="77777777" w:rsidR="001D1BED" w:rsidRDefault="00000000">
            <w:pPr>
              <w:pStyle w:val="TableContents"/>
              <w:jc w:val="center"/>
            </w:pPr>
            <w:r>
              <w:t>255 840,00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9BA6D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42,06</w:t>
            </w:r>
          </w:p>
        </w:tc>
        <w:tc>
          <w:tcPr>
            <w:tcW w:w="207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1B380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60</w:t>
            </w:r>
          </w:p>
        </w:tc>
        <w:tc>
          <w:tcPr>
            <w:tcW w:w="2034" w:type="dxa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00F6B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07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C2E26" w14:textId="77777777" w:rsidR="001D1BED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82,06</w:t>
            </w:r>
          </w:p>
        </w:tc>
      </w:tr>
    </w:tbl>
    <w:p w14:paraId="74BAD080" w14:textId="77777777" w:rsidR="001D1BED" w:rsidRDefault="001D1BED">
      <w:pPr>
        <w:pStyle w:val="Textbody"/>
        <w:spacing w:line="100" w:lineRule="atLeast"/>
        <w:ind w:firstLine="10490"/>
        <w:jc w:val="both"/>
      </w:pPr>
    </w:p>
    <w:p w14:paraId="3DDDAD18" w14:textId="77777777" w:rsidR="001D1BED" w:rsidRDefault="00000000">
      <w:pPr>
        <w:pStyle w:val="Textbody"/>
        <w:spacing w:line="100" w:lineRule="atLeast"/>
        <w:ind w:firstLine="10490"/>
        <w:jc w:val="both"/>
      </w:pPr>
      <w:r>
        <w:rPr>
          <w:b/>
        </w:rPr>
        <w:t>Z poważaniem</w:t>
      </w:r>
    </w:p>
    <w:sectPr w:rsidR="001D1BED">
      <w:headerReference w:type="default" r:id="rId7"/>
      <w:headerReference w:type="first" r:id="rId8"/>
      <w:pgSz w:w="16838" w:h="11906" w:orient="landscape"/>
      <w:pgMar w:top="426" w:right="1103" w:bottom="708" w:left="708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FBB9B" w14:textId="77777777" w:rsidR="00DE6BE7" w:rsidRDefault="00DE6BE7">
      <w:r>
        <w:separator/>
      </w:r>
    </w:p>
  </w:endnote>
  <w:endnote w:type="continuationSeparator" w:id="0">
    <w:p w14:paraId="0E30607C" w14:textId="77777777" w:rsidR="00DE6BE7" w:rsidRDefault="00DE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9FBB" w14:textId="77777777" w:rsidR="00DE6BE7" w:rsidRDefault="00DE6BE7">
      <w:r>
        <w:rPr>
          <w:color w:val="000000"/>
        </w:rPr>
        <w:separator/>
      </w:r>
    </w:p>
  </w:footnote>
  <w:footnote w:type="continuationSeparator" w:id="0">
    <w:p w14:paraId="75B241DF" w14:textId="77777777" w:rsidR="00DE6BE7" w:rsidRDefault="00DE6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FF06" w14:textId="77777777" w:rsidR="00F12771" w:rsidRDefault="00000000">
    <w:pPr>
      <w:pStyle w:val="Heading"/>
      <w:jc w:val="center"/>
    </w:pPr>
  </w:p>
  <w:p w14:paraId="27BE6DF6" w14:textId="77777777" w:rsidR="00F12771" w:rsidRDefault="00000000">
    <w:pPr>
      <w:pStyle w:val="Heading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60D5" w14:textId="77777777" w:rsidR="00F12771" w:rsidRDefault="00000000">
    <w:pPr>
      <w:pStyle w:val="Heading"/>
      <w:jc w:val="center"/>
    </w:pPr>
  </w:p>
  <w:p w14:paraId="14E5D04E" w14:textId="77777777" w:rsidR="00F12771" w:rsidRDefault="00000000">
    <w:pPr>
      <w:pStyle w:val="Heading"/>
      <w:jc w:val="center"/>
    </w:pPr>
  </w:p>
  <w:p w14:paraId="4F74FCCD" w14:textId="77777777" w:rsidR="00F12771" w:rsidRDefault="00000000">
    <w:pPr>
      <w:pStyle w:val="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6D0"/>
    <w:multiLevelType w:val="multilevel"/>
    <w:tmpl w:val="1CF2F110"/>
    <w:styleLink w:val="Outline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BBA01DD"/>
    <w:multiLevelType w:val="multilevel"/>
    <w:tmpl w:val="5B40219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FD760AF"/>
    <w:multiLevelType w:val="multilevel"/>
    <w:tmpl w:val="E8129282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" w15:restartNumberingAfterBreak="0">
    <w:nsid w:val="14496C1E"/>
    <w:multiLevelType w:val="multilevel"/>
    <w:tmpl w:val="0A5AA486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4" w15:restartNumberingAfterBreak="0">
    <w:nsid w:val="14F6554D"/>
    <w:multiLevelType w:val="multilevel"/>
    <w:tmpl w:val="7ADA825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5" w15:restartNumberingAfterBreak="0">
    <w:nsid w:val="17444272"/>
    <w:multiLevelType w:val="multilevel"/>
    <w:tmpl w:val="7E945786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87028E8"/>
    <w:multiLevelType w:val="multilevel"/>
    <w:tmpl w:val="1A6E33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AEB709D"/>
    <w:multiLevelType w:val="multilevel"/>
    <w:tmpl w:val="251E31AC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E043515"/>
    <w:multiLevelType w:val="multilevel"/>
    <w:tmpl w:val="3ACC1902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FB87AE8"/>
    <w:multiLevelType w:val="multilevel"/>
    <w:tmpl w:val="F8322456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35462F6"/>
    <w:multiLevelType w:val="multilevel"/>
    <w:tmpl w:val="70609A6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11" w15:restartNumberingAfterBreak="0">
    <w:nsid w:val="3455596D"/>
    <w:multiLevelType w:val="multilevel"/>
    <w:tmpl w:val="F0324C0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5775FD6"/>
    <w:multiLevelType w:val="multilevel"/>
    <w:tmpl w:val="B316F81C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37921387"/>
    <w:multiLevelType w:val="multilevel"/>
    <w:tmpl w:val="B19636CC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94F4CF0"/>
    <w:multiLevelType w:val="multilevel"/>
    <w:tmpl w:val="CB3E85E2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B946973"/>
    <w:multiLevelType w:val="multilevel"/>
    <w:tmpl w:val="4E880D1E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EF448C2"/>
    <w:multiLevelType w:val="multilevel"/>
    <w:tmpl w:val="F99C8F9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F526242"/>
    <w:multiLevelType w:val="multilevel"/>
    <w:tmpl w:val="9DA09BEE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1C55772"/>
    <w:multiLevelType w:val="multilevel"/>
    <w:tmpl w:val="113A646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7E43A47"/>
    <w:multiLevelType w:val="multilevel"/>
    <w:tmpl w:val="D5A6CB72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C7A364F"/>
    <w:multiLevelType w:val="multilevel"/>
    <w:tmpl w:val="5128CF7A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4C7F6519"/>
    <w:multiLevelType w:val="multilevel"/>
    <w:tmpl w:val="8436A9AA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4840EBC"/>
    <w:multiLevelType w:val="multilevel"/>
    <w:tmpl w:val="CB564C92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552114CA"/>
    <w:multiLevelType w:val="multilevel"/>
    <w:tmpl w:val="92A2ECF8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5A976B2"/>
    <w:multiLevelType w:val="multilevel"/>
    <w:tmpl w:val="CD0240A4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56344627"/>
    <w:multiLevelType w:val="multilevel"/>
    <w:tmpl w:val="29FACCBC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6E14FFA"/>
    <w:multiLevelType w:val="multilevel"/>
    <w:tmpl w:val="F6524EA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8A331FC"/>
    <w:multiLevelType w:val="multilevel"/>
    <w:tmpl w:val="C1D8111A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28" w15:restartNumberingAfterBreak="0">
    <w:nsid w:val="58DF1B0A"/>
    <w:multiLevelType w:val="multilevel"/>
    <w:tmpl w:val="10AE26C4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9165BCD"/>
    <w:multiLevelType w:val="multilevel"/>
    <w:tmpl w:val="1D62AAD2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97075E1"/>
    <w:multiLevelType w:val="multilevel"/>
    <w:tmpl w:val="221A8EB4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31" w15:restartNumberingAfterBreak="0">
    <w:nsid w:val="5CF84EAE"/>
    <w:multiLevelType w:val="multilevel"/>
    <w:tmpl w:val="39327DC6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0264CFE"/>
    <w:multiLevelType w:val="multilevel"/>
    <w:tmpl w:val="CE8A39BE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67E452B"/>
    <w:multiLevelType w:val="multilevel"/>
    <w:tmpl w:val="75EC7134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7225F40"/>
    <w:multiLevelType w:val="multilevel"/>
    <w:tmpl w:val="D14014E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69064F20"/>
    <w:multiLevelType w:val="multilevel"/>
    <w:tmpl w:val="745426CA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917773E"/>
    <w:multiLevelType w:val="multilevel"/>
    <w:tmpl w:val="D1EE100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0280F65"/>
    <w:multiLevelType w:val="multilevel"/>
    <w:tmpl w:val="76422A8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7D93340F"/>
    <w:multiLevelType w:val="multilevel"/>
    <w:tmpl w:val="D5ACD25E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92465951">
    <w:abstractNumId w:val="0"/>
  </w:num>
  <w:num w:numId="2" w16cid:durableId="862985496">
    <w:abstractNumId w:val="36"/>
  </w:num>
  <w:num w:numId="3" w16cid:durableId="1206018089">
    <w:abstractNumId w:val="35"/>
  </w:num>
  <w:num w:numId="4" w16cid:durableId="1116484222">
    <w:abstractNumId w:val="32"/>
  </w:num>
  <w:num w:numId="5" w16cid:durableId="164785154">
    <w:abstractNumId w:val="20"/>
  </w:num>
  <w:num w:numId="6" w16cid:durableId="1944341479">
    <w:abstractNumId w:val="29"/>
  </w:num>
  <w:num w:numId="7" w16cid:durableId="1780298276">
    <w:abstractNumId w:val="8"/>
  </w:num>
  <w:num w:numId="8" w16cid:durableId="961038697">
    <w:abstractNumId w:val="28"/>
  </w:num>
  <w:num w:numId="9" w16cid:durableId="38937036">
    <w:abstractNumId w:val="38"/>
  </w:num>
  <w:num w:numId="10" w16cid:durableId="575558595">
    <w:abstractNumId w:val="26"/>
  </w:num>
  <w:num w:numId="11" w16cid:durableId="1528717456">
    <w:abstractNumId w:val="13"/>
  </w:num>
  <w:num w:numId="12" w16cid:durableId="360546081">
    <w:abstractNumId w:val="16"/>
  </w:num>
  <w:num w:numId="13" w16cid:durableId="1735272641">
    <w:abstractNumId w:val="25"/>
  </w:num>
  <w:num w:numId="14" w16cid:durableId="1336225188">
    <w:abstractNumId w:val="11"/>
  </w:num>
  <w:num w:numId="15" w16cid:durableId="915481840">
    <w:abstractNumId w:val="9"/>
  </w:num>
  <w:num w:numId="16" w16cid:durableId="168955149">
    <w:abstractNumId w:val="12"/>
  </w:num>
  <w:num w:numId="17" w16cid:durableId="1102147096">
    <w:abstractNumId w:val="23"/>
  </w:num>
  <w:num w:numId="18" w16cid:durableId="294918947">
    <w:abstractNumId w:val="24"/>
  </w:num>
  <w:num w:numId="19" w16cid:durableId="906067267">
    <w:abstractNumId w:val="17"/>
  </w:num>
  <w:num w:numId="20" w16cid:durableId="797534379">
    <w:abstractNumId w:val="21"/>
  </w:num>
  <w:num w:numId="21" w16cid:durableId="1378893140">
    <w:abstractNumId w:val="15"/>
  </w:num>
  <w:num w:numId="22" w16cid:durableId="1217282023">
    <w:abstractNumId w:val="37"/>
  </w:num>
  <w:num w:numId="23" w16cid:durableId="1570119400">
    <w:abstractNumId w:val="14"/>
  </w:num>
  <w:num w:numId="24" w16cid:durableId="453402457">
    <w:abstractNumId w:val="33"/>
  </w:num>
  <w:num w:numId="25" w16cid:durableId="2043551744">
    <w:abstractNumId w:val="7"/>
  </w:num>
  <w:num w:numId="26" w16cid:durableId="1149633096">
    <w:abstractNumId w:val="34"/>
  </w:num>
  <w:num w:numId="27" w16cid:durableId="614558493">
    <w:abstractNumId w:val="18"/>
  </w:num>
  <w:num w:numId="28" w16cid:durableId="56632433">
    <w:abstractNumId w:val="5"/>
  </w:num>
  <w:num w:numId="29" w16cid:durableId="1055083376">
    <w:abstractNumId w:val="19"/>
  </w:num>
  <w:num w:numId="30" w16cid:durableId="81336822">
    <w:abstractNumId w:val="22"/>
  </w:num>
  <w:num w:numId="31" w16cid:durableId="15736913">
    <w:abstractNumId w:val="6"/>
  </w:num>
  <w:num w:numId="32" w16cid:durableId="1284919640">
    <w:abstractNumId w:val="1"/>
  </w:num>
  <w:num w:numId="33" w16cid:durableId="2066830342">
    <w:abstractNumId w:val="30"/>
  </w:num>
  <w:num w:numId="34" w16cid:durableId="1356230540">
    <w:abstractNumId w:val="10"/>
  </w:num>
  <w:num w:numId="35" w16cid:durableId="1667856771">
    <w:abstractNumId w:val="4"/>
  </w:num>
  <w:num w:numId="36" w16cid:durableId="1269309151">
    <w:abstractNumId w:val="27"/>
  </w:num>
  <w:num w:numId="37" w16cid:durableId="2024625114">
    <w:abstractNumId w:val="2"/>
  </w:num>
  <w:num w:numId="38" w16cid:durableId="227376602">
    <w:abstractNumId w:val="3"/>
  </w:num>
  <w:num w:numId="39" w16cid:durableId="1160733994">
    <w:abstractNumId w:val="31"/>
  </w:num>
  <w:num w:numId="40" w16cid:durableId="811214413">
    <w:abstractNumId w:val="3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1BED"/>
    <w:rsid w:val="001D1BED"/>
    <w:rsid w:val="005B46A2"/>
    <w:rsid w:val="00D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FFCB"/>
  <w15:docId w15:val="{88270673-9229-4EC6-AACC-53B79BF5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8">
    <w:name w:val="WW_OutlineListStyle_28"/>
    <w:basedOn w:val="Bezlisty"/>
    <w:pPr>
      <w:numPr>
        <w:numId w:val="2"/>
      </w:numPr>
    </w:pPr>
  </w:style>
  <w:style w:type="numbering" w:customStyle="1" w:styleId="WWOutlineListStyle27">
    <w:name w:val="WW_OutlineListStyle_27"/>
    <w:basedOn w:val="Bezlisty"/>
    <w:pPr>
      <w:numPr>
        <w:numId w:val="3"/>
      </w:numPr>
    </w:pPr>
  </w:style>
  <w:style w:type="numbering" w:customStyle="1" w:styleId="WWOutlineListStyle26">
    <w:name w:val="WW_OutlineListStyle_26"/>
    <w:basedOn w:val="Bezlisty"/>
    <w:pPr>
      <w:numPr>
        <w:numId w:val="4"/>
      </w:numPr>
    </w:pPr>
  </w:style>
  <w:style w:type="numbering" w:customStyle="1" w:styleId="WWOutlineListStyle25">
    <w:name w:val="WW_OutlineListStyle_25"/>
    <w:basedOn w:val="Bezlisty"/>
    <w:pPr>
      <w:numPr>
        <w:numId w:val="5"/>
      </w:numPr>
    </w:pPr>
  </w:style>
  <w:style w:type="numbering" w:customStyle="1" w:styleId="WWOutlineListStyle24">
    <w:name w:val="WW_OutlineListStyle_24"/>
    <w:basedOn w:val="Bezlisty"/>
    <w:pPr>
      <w:numPr>
        <w:numId w:val="6"/>
      </w:numPr>
    </w:pPr>
  </w:style>
  <w:style w:type="numbering" w:customStyle="1" w:styleId="WWOutlineListStyle23">
    <w:name w:val="WW_OutlineListStyle_23"/>
    <w:basedOn w:val="Bezlisty"/>
    <w:pPr>
      <w:numPr>
        <w:numId w:val="7"/>
      </w:numPr>
    </w:pPr>
  </w:style>
  <w:style w:type="numbering" w:customStyle="1" w:styleId="WWOutlineListStyle22">
    <w:name w:val="WW_OutlineListStyle_22"/>
    <w:basedOn w:val="Bezlisty"/>
    <w:pPr>
      <w:numPr>
        <w:numId w:val="8"/>
      </w:numPr>
    </w:pPr>
  </w:style>
  <w:style w:type="numbering" w:customStyle="1" w:styleId="WWOutlineListStyle21">
    <w:name w:val="WW_OutlineListStyle_21"/>
    <w:basedOn w:val="Bezlisty"/>
    <w:pPr>
      <w:numPr>
        <w:numId w:val="9"/>
      </w:numPr>
    </w:pPr>
  </w:style>
  <w:style w:type="numbering" w:customStyle="1" w:styleId="WWOutlineListStyle20">
    <w:name w:val="WW_OutlineListStyle_20"/>
    <w:basedOn w:val="Bezlisty"/>
    <w:pPr>
      <w:numPr>
        <w:numId w:val="10"/>
      </w:numPr>
    </w:pPr>
  </w:style>
  <w:style w:type="numbering" w:customStyle="1" w:styleId="WWOutlineListStyle19">
    <w:name w:val="WW_OutlineListStyle_19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OutlineListStyle18">
    <w:name w:val="WW_OutlineListStyle_18"/>
    <w:basedOn w:val="Bezlisty"/>
    <w:pPr>
      <w:numPr>
        <w:numId w:val="13"/>
      </w:numPr>
    </w:pPr>
  </w:style>
  <w:style w:type="numbering" w:customStyle="1" w:styleId="WWOutlineListStyle17">
    <w:name w:val="WW_OutlineListStyle_17"/>
    <w:basedOn w:val="Bezlisty"/>
    <w:pPr>
      <w:numPr>
        <w:numId w:val="14"/>
      </w:numPr>
    </w:pPr>
  </w:style>
  <w:style w:type="numbering" w:customStyle="1" w:styleId="WWOutlineListStyle16">
    <w:name w:val="WW_OutlineListStyle_16"/>
    <w:basedOn w:val="Bezlisty"/>
    <w:pPr>
      <w:numPr>
        <w:numId w:val="15"/>
      </w:numPr>
    </w:pPr>
  </w:style>
  <w:style w:type="numbering" w:customStyle="1" w:styleId="WWOutlineListStyle15">
    <w:name w:val="WW_OutlineListStyle_15"/>
    <w:basedOn w:val="Bezlisty"/>
    <w:pPr>
      <w:numPr>
        <w:numId w:val="16"/>
      </w:numPr>
    </w:pPr>
  </w:style>
  <w:style w:type="numbering" w:customStyle="1" w:styleId="WWOutlineListStyle14">
    <w:name w:val="WW_OutlineListStyle_14"/>
    <w:basedOn w:val="Bezlisty"/>
    <w:pPr>
      <w:numPr>
        <w:numId w:val="17"/>
      </w:numPr>
    </w:pPr>
  </w:style>
  <w:style w:type="numbering" w:customStyle="1" w:styleId="WWOutlineListStyle13">
    <w:name w:val="WW_OutlineListStyle_13"/>
    <w:basedOn w:val="Bezlisty"/>
    <w:pPr>
      <w:numPr>
        <w:numId w:val="18"/>
      </w:numPr>
    </w:pPr>
  </w:style>
  <w:style w:type="numbering" w:customStyle="1" w:styleId="WWOutlineListStyle12">
    <w:name w:val="WW_OutlineListStyle_12"/>
    <w:basedOn w:val="Bezlisty"/>
    <w:pPr>
      <w:numPr>
        <w:numId w:val="19"/>
      </w:numPr>
    </w:pPr>
  </w:style>
  <w:style w:type="numbering" w:customStyle="1" w:styleId="WWOutlineListStyle11">
    <w:name w:val="WW_OutlineListStyle_11"/>
    <w:basedOn w:val="Bezlisty"/>
    <w:pPr>
      <w:numPr>
        <w:numId w:val="20"/>
      </w:numPr>
    </w:pPr>
  </w:style>
  <w:style w:type="numbering" w:customStyle="1" w:styleId="WWOutlineListStyle10">
    <w:name w:val="WW_OutlineListStyle_10"/>
    <w:basedOn w:val="Bezlisty"/>
    <w:pPr>
      <w:numPr>
        <w:numId w:val="21"/>
      </w:numPr>
    </w:pPr>
  </w:style>
  <w:style w:type="numbering" w:customStyle="1" w:styleId="WWNum1">
    <w:name w:val="WWNum1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WW8Num2">
    <w:name w:val="WW8Num2"/>
    <w:basedOn w:val="Bezlisty"/>
    <w:pPr>
      <w:numPr>
        <w:numId w:val="33"/>
      </w:numPr>
    </w:pPr>
  </w:style>
  <w:style w:type="numbering" w:customStyle="1" w:styleId="WW8Num3">
    <w:name w:val="WW8Num3"/>
    <w:basedOn w:val="Bezlisty"/>
    <w:pPr>
      <w:numPr>
        <w:numId w:val="34"/>
      </w:numPr>
    </w:pPr>
  </w:style>
  <w:style w:type="numbering" w:customStyle="1" w:styleId="WW8Num8">
    <w:name w:val="WW8Num8"/>
    <w:basedOn w:val="Bezlisty"/>
    <w:pPr>
      <w:numPr>
        <w:numId w:val="35"/>
      </w:numPr>
    </w:pPr>
  </w:style>
  <w:style w:type="numbering" w:customStyle="1" w:styleId="WW8Num6">
    <w:name w:val="WW8Num6"/>
    <w:basedOn w:val="Bezlisty"/>
    <w:pPr>
      <w:numPr>
        <w:numId w:val="36"/>
      </w:numPr>
    </w:pPr>
  </w:style>
  <w:style w:type="numbering" w:customStyle="1" w:styleId="WW8Num4">
    <w:name w:val="WW8Num4"/>
    <w:basedOn w:val="Bezlisty"/>
    <w:pPr>
      <w:numPr>
        <w:numId w:val="37"/>
      </w:numPr>
    </w:pPr>
  </w:style>
  <w:style w:type="numbering" w:customStyle="1" w:styleId="WW8Num5">
    <w:name w:val="WW8Num5"/>
    <w:basedOn w:val="Bezlisty"/>
    <w:pPr>
      <w:numPr>
        <w:numId w:val="38"/>
      </w:numPr>
    </w:pPr>
  </w:style>
  <w:style w:type="numbering" w:customStyle="1" w:styleId="WW8Num7">
    <w:name w:val="WW8Num7"/>
    <w:basedOn w:val="Bezlisty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zawiadomienie%20o%20wyborze%20oferty%20najkorzytsniejszej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2</cp:revision>
  <cp:lastPrinted>2022-09-27T08:28:00Z</cp:lastPrinted>
  <dcterms:created xsi:type="dcterms:W3CDTF">2022-09-27T10:24:00Z</dcterms:created>
  <dcterms:modified xsi:type="dcterms:W3CDTF">2022-09-27T10:24:00Z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