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77777777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10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 ….272.........2022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reprezentowaną/ym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wyniku przeprowadzonego postępowania o udzielenie zamówienia publicznego w trybie podstawowym,        o którym mowa w art. 275 pkt. 1 ustawy z dnia 11 września 2019 r. Prawo zamówień publicznych                        (t.j.: Dz. U. z 2021 r., poz. 1129 ze zm.)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B</w:t>
      </w:r>
      <w:r>
        <w:rPr>
          <w:rFonts w:eastAsia="Lucida Sans Unicode" w:cs="Times New Roman"/>
          <w:b/>
          <w:bCs/>
          <w:sz w:val="22"/>
          <w:szCs w:val="22"/>
        </w:rPr>
        <w:t>udowa ścieżki pieszo- rowerowej, między ulicą Konstytucji 3 Maja, a ulicą Wojska Polskiego w Gołd</w:t>
      </w:r>
      <w:r>
        <w:t>api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dokumentacji projektowej, w oparciu której wydane zostało pozwolenie na budowę nr mG.45.2022 z dnia 4.04.2022 r. wraz ze specyfikacją techniczną wykonania             i odbioru robót budowlanych </w:t>
      </w:r>
      <w:r>
        <w:rPr>
          <w:sz w:val="22"/>
          <w:szCs w:val="22"/>
        </w:rPr>
        <w:t>zwaną dalej STWiORB</w:t>
      </w:r>
      <w:r>
        <w:rPr>
          <w:rFonts w:eastAsia="Times New Roman" w:cs="Times New Roman"/>
          <w:sz w:val="22"/>
          <w:szCs w:val="22"/>
          <w:lang w:bidi="ar-SA"/>
        </w:rPr>
        <w:t xml:space="preserve">, specyfikacji warunków zamówienia oraz zgodnie               </w:t>
      </w:r>
      <w:r>
        <w:rPr>
          <w:sz w:val="22"/>
          <w:szCs w:val="22"/>
        </w:rPr>
        <w:t xml:space="preserve">z kosztorysem ofertowym Wykonawcy, </w:t>
      </w:r>
      <w:r>
        <w:rPr>
          <w:rFonts w:eastAsia="Times New Roman" w:cs="Times New Roman"/>
          <w:sz w:val="22"/>
          <w:szCs w:val="22"/>
          <w:lang w:bidi="ar-SA"/>
        </w:rPr>
        <w:t>stanowiącymi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210C38D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>5. Wykonawca zobowiązuje się wykonać roboty budowlane, które nie zostały wyszczególnione w przedmiarze robót, a są konieczne do realizacji przedmiotu Umowy zgodnie z dokumentacją projektową i specyfikacjami technicznymi wykonania i odbioru robót.</w:t>
      </w:r>
    </w:p>
    <w:p w14:paraId="6CEC5F6C" w14:textId="77777777" w:rsidR="007953A8" w:rsidRDefault="007953A8">
      <w:pPr>
        <w:pStyle w:val="Standard"/>
        <w:jc w:val="both"/>
      </w:pP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>4 miesięcy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przekazania terenu budowy Wykonawcy.</w:t>
      </w:r>
    </w:p>
    <w:p w14:paraId="11DD700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771FF2D7" w14:textId="77777777" w:rsidR="007953A8" w:rsidRDefault="007953A8">
      <w:pPr>
        <w:pStyle w:val="Standard"/>
        <w:jc w:val="both"/>
      </w:pP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1) wprowadzenie i protokolarne przekazanie Wykonawcy terenu robót, w terminie do 7 dni licząc od dnia  podpisania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3) wykonanie przedmiotu umowy z materiałów odpowiadających wymaganiom określonym                                 w ustawie z dnia 7 lipca 1994 r. Prawo budowlane (t.j.: Dz. U. z 2021 r. poz. 2351 ze zm.) i ustawie z dnia                       16 kwietnia 2004 r. o wyrobach budowlanych (t.j.: Dz.U. z 2021 r., poz. 1213), okazania na każde żądanie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(t.j.: Dz. U. z 2021 r., poz. 1973 ze zm.),</w:t>
      </w:r>
    </w:p>
    <w:p w14:paraId="68588E3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(t.j.: Dz. U. z 2022 r. poz. 699 ),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9) ponoszenie pełnej odpowiedzialności za stan i przestrzeganie przepisów bhp, ochronę p.poż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800160D" w14:textId="77777777" w:rsidR="007953A8" w:rsidRDefault="00000000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065AAC25" w14:textId="77777777" w:rsidR="007953A8" w:rsidRDefault="007953A8">
      <w:pPr>
        <w:pStyle w:val="Standard"/>
        <w:ind w:left="142" w:hanging="142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5F8ABC7D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(t.j.: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żądania oświadczeń i dokumentów potwierdzających wywiązywanie się z obowiązków zatrudniania osób biorących udział w realizacji zamówienia i wykonujących wymagane rodzaje czynności na podstawie 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Zamawiający, w celu weryfikacji zatrudniania, przez Wykonawcę lub podwykonawcę, na podstawie umowy o pracę, osób wykonujących wskazane przez zamawiającego w dokumentach zamówienia,   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596B32B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1. Cenę za wykonanie przedmiotu niniejszej umowy, Strony ustalają jako ryczałtową w </w:t>
      </w:r>
      <w:r>
        <w:rPr>
          <w:rFonts w:eastAsia="Times New Roman" w:cs="Times New Roman"/>
          <w:color w:val="000000"/>
          <w:sz w:val="22"/>
          <w:szCs w:val="22"/>
        </w:rPr>
        <w:t xml:space="preserve">wysokości 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………… </w:t>
      </w:r>
      <w:r>
        <w:rPr>
          <w:rFonts w:eastAsia="Times New Roman" w:cs="Times New Roman"/>
          <w:color w:val="000000"/>
          <w:sz w:val="22"/>
          <w:szCs w:val="22"/>
        </w:rPr>
        <w:t>złotych netto plus należny podatek VAT (….%) w kwocie ………… zł, co daje brutto  ……………… zł (słownie: ………………………..złotych …/100 brutto).</w:t>
      </w:r>
    </w:p>
    <w:p w14:paraId="008689D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Wynagrodzenie, o którym mowa w zdaniu pierwszym ma charakter wynagrodzenia ryczałtowego w rozumieniu art. 632 kodeksu cywilnego i obejmuje wszystkie koszty bezpośrednie i pośrednie, niezbędne do terminowego i prawidłowego wykonania przedmiotu zamówienia, zysk oraz wszystkie wymagane przepisami podatki i opłaty, w tym podatek VAT. Wykonawca powinien uwzględnić w cenie oferty wszystkie posiadane informacje o przedmiocie zamówienia, a szczególnie informacje, wymagania i warunki podane w SWZ. Niedoszacowanie, pominięcie oraz brak rozpoznania przedmiotu i zakresu zamówienia nie może być podstawową do żądania zmiany wynagrodzenia ryczałtowego określonego w umowie.</w:t>
      </w:r>
    </w:p>
    <w:p w14:paraId="4462459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2. Strony zastrzegają możliwość modyfikacji zakresu robót, w zależności od zaistnienia konieczności  wykonania robót dodatkowych, zamiennych  lub zmniejszenia zakresu  robót podstawowych. W przypadku, gdy wystąpi konieczność wykonania robót dodatkowych / zamiennych, czy też zaniechania robót, roboty te rozliczone będą na podstawie aneksu do umowy. W takim przypadku Wykonawca wstrzyma się z wykonaniem prac i powiadomi Zamawiającego. Podstawą do sporządzenia aneksu będzie protokół konieczności oraz kosztorys różnicowy, sporządzone przed wykonaniem robót. Zamawiający zapłaci wynagrodzenie Wykonawcy tylko za elementy przedmiotu umowy faktycznie wykonane. W razie niewykonania jakichkolwiek elementów, wynagrodzenie ulegnie zmniejszeniu o wartość elementów niewykonanych.</w:t>
      </w:r>
    </w:p>
    <w:p w14:paraId="09144E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</w:t>
      </w:r>
      <w:r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B1392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4. Podstawą zapłaty wynagrodzenia będzie wystawiona przez Wykonawcę faktura adresowana na Gminę Gołdap, Plac Zwycięstwa 14, NIP 847-158-70-61.</w:t>
      </w:r>
    </w:p>
    <w:p w14:paraId="68E6812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Wynagrodzenie nie podlega waloryzacji z tytułu skutków inflacji.</w:t>
      </w:r>
    </w:p>
    <w:p w14:paraId="6DF659C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6. Jeżeli umowa będzie realizowana z pomocą podwykonawców </w:t>
      </w:r>
      <w:r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1EDE7372" w14:textId="77777777" w:rsidR="007953A8" w:rsidRDefault="00000000">
      <w:pPr>
        <w:pStyle w:val="Akapitzlist"/>
        <w:numPr>
          <w:ilvl w:val="0"/>
          <w:numId w:val="33"/>
        </w:numPr>
        <w:spacing w:after="60"/>
        <w:ind w:left="426" w:hanging="284"/>
        <w:jc w:val="both"/>
      </w:pPr>
      <w:r>
        <w:rPr>
          <w:rFonts w:cs="Times New Roman"/>
          <w:sz w:val="22"/>
          <w:szCs w:val="22"/>
        </w:rPr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56FF9B94" w14:textId="77777777" w:rsidR="007953A8" w:rsidRDefault="00000000">
      <w:pPr>
        <w:pStyle w:val="Standard"/>
        <w:numPr>
          <w:ilvl w:val="0"/>
          <w:numId w:val="6"/>
        </w:numPr>
        <w:suppressAutoHyphens w:val="0"/>
        <w:spacing w:after="60"/>
        <w:ind w:left="426" w:hanging="284"/>
        <w:jc w:val="both"/>
      </w:pPr>
      <w:r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27005B5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7. Za nieterminowe płatności faktur, Wykonawca ma prawo naliczyć odsetki ustawowe.</w:t>
      </w:r>
    </w:p>
    <w:p w14:paraId="53BC61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8. Wynagrodzenie umowne nie ulega zmianie przez cały okres trwania umowy z wyjątkiem sytuacji określonej w ust. 2.</w:t>
      </w:r>
    </w:p>
    <w:p w14:paraId="7D020AAE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Odbiory robót zanikających i ulegających zakryciu, dokonywane będą przez Inspektora nadzoru inwestorskiego lub przedstawiciela Zamawiającego. Wykonawca winien zgłaszać gotowość do odbiorów,   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Zabezpieczenie zabezpiecza roszczenia Zamawiającego wobec Wykonawcy z tytułu niewykonania lub nienależytego wykonania przez Wykonawcę wszelkich zobowiązań zawartych w niniejszej umowie,   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59EECB4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38F9E166" w14:textId="77777777" w:rsidR="007953A8" w:rsidRDefault="007953A8">
      <w:pPr>
        <w:pStyle w:val="Standard"/>
        <w:jc w:val="both"/>
        <w:rPr>
          <w:rFonts w:cs="Times New Roman"/>
          <w:sz w:val="22"/>
          <w:szCs w:val="22"/>
        </w:rPr>
      </w:pPr>
    </w:p>
    <w:p w14:paraId="6548E822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77777777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 z wyłączeniem niedziel i świąt,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umowy  –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nie zastosowania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544F9D5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k) za brak zmiany przez Wykonawcę, wynagrodzenia należnego podwykonawcy, na zasadach określonych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§ 6 ust 12, pkt 6) niniejszej umowy, w wysokości 15 000 zł,  </w:t>
      </w:r>
      <w:r>
        <w:rPr>
          <w:rFonts w:eastAsia="Times New Roman" w:cs="Times New Roman"/>
          <w:sz w:val="22"/>
          <w:szCs w:val="22"/>
          <w:lang w:bidi="ar-SA"/>
        </w:rPr>
        <w:t xml:space="preserve">  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02DC9A7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6. Łączna maksymalna wysokość kar umownych, których mogą dochodzić strony niniejszej umowy, nie mogą przekroczyć 10% ceny ofertowej brutto, o której mowa w § 6 ust. 1 umowy.</w:t>
      </w:r>
    </w:p>
    <w:p w14:paraId="641D8EFB" w14:textId="77777777" w:rsidR="007953A8" w:rsidRDefault="00000000">
      <w:pPr>
        <w:pStyle w:val="Standard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                                         </w:t>
      </w:r>
    </w:p>
    <w:p w14:paraId="5D031A49" w14:textId="77777777" w:rsidR="007953A8" w:rsidRDefault="007953A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r:id="rId7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r:id="rId8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r:id="rId9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r:id="rId10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 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strony,   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3. Umowa o podwykonawstwo nie może zawierać postanowień kształtujących prawa i obowiązki                     podwykonawcy, w zakresie kar umownych oraz postanowień dotyczących warunków wypłaty wynagrodzenia,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5) wynagrodzenie i zasady płatności za wykonanie robót z zastrzeżeniem, że nie będzie ono wyższe od              wynagrodzenia za wykonanie tego samego zakresu robót należnego Wykonawcy od Zamawiającego,   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6) wymóg zatrudnienia przez podwykonawcę na podstawie umowy o pracę osób wykonujących czynności,   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przewiduje ona termin zapłaty wynagrodzenia dłuższy niż 30 dni od dnia doręczenia Wykonawcy,   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zawiera ona postanowienia niezgodne z ust. 3..</w:t>
      </w:r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rachunku,                     </w:t>
      </w:r>
      <w:r>
        <w:rPr>
          <w:rFonts w:cs="Times New Roman"/>
          <w:sz w:val="22"/>
          <w:szCs w:val="22"/>
          <w:lang w:bidi="ar-SA"/>
        </w:rPr>
        <w:lastRenderedPageBreak/>
        <w:t>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23. W przypadku dokonania bezpośredniej zapłaty podwykonawcy lub dalszemu podwykonawcy,   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lastRenderedPageBreak/>
        <w:t>do nieodpłatnego wykonywania przeglądów gwarancyjnych w terminach ustalonych z Zamawiającym,</w:t>
      </w:r>
    </w:p>
    <w:p w14:paraId="64AE3F8C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zapewnienia bezpłatnego serwisu i konserwacji urządzeń, instalacji, wyposażenia w okresie gwarancji udzielonej przez dostawcę/producenta, obejmującego w szczególności bieżącą konserwację, przeglądy i utrzymanie w pełnej sprawności technicznej, które są konieczne do prawidłowego funkcjonowania i utrzymania gwarancji producenta,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1BFD739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7. Odpowiedzialność z tytułu gwarancji jakości obejmuje zarówno wady powstałe z przyczyn tkwiących                      w przedmiocie umowy w chwili dokonania jego odbioru przez Zamawiającego, jak i wszelkie inne wady fizyczne w nich powstałe z przyczyn, za które Wykonawca, producent lub inny gwarant ponosi odpowiedzialność, pod warunkiem, że wady te ujawnią się w ciągu terminu obowiązywania gwarancji.</w:t>
      </w:r>
    </w:p>
    <w:p w14:paraId="27B0673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8. W przypadku, gdy z wybudowanego obiektu budowlanego stanowiącego przedmiot umowy będzie korzystało przedsiębiorstwo Zamawiającego, zwane dalej „Użytkownikiem”, Zamawiający upoważnia ten podmiot do zgłaszania ewentualnych awarii i usterek.</w:t>
      </w:r>
    </w:p>
    <w:p w14:paraId="3573B990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9 Wykonawca ma obowiązek przyjmowania zgłoszeń serwisowych telefonicznie, mailem lub faksem.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780C5911" w14:textId="77777777" w:rsidR="007953A8" w:rsidRDefault="00000000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wystąpieniem okoliczności zaistniałych w trakcie realizacji zamówienia, a w szczególności  zaistnieniem niesprzyjających warunków atmosferycznych, geologicznych, czy hydrologiicznych,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g) wystąpieniem niezgodności pomiędzy stanem istniejącym w terenie, a tym wynikającym z map lub innej dokumentacji geodezyjnej, w tym wystąpieniem niezgodności pomiędzy częścią opisową,   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 wystąpienia nieprzewidzianych kolizji z planowanymi lub równolegle prowadzonymi przez            Zamawiającego lub inne podmioty inwestycjam/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wystąpienia sprzeciwu właścicieli / władających terenem na wykonanie prac przygotowawczych     (np.: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10) zmiany o charakterze podmiotowym w zakresie Wykonawcy, jeżeli po stronie Wykonawcy występują podmioty działające wspólnie (np. konsorcjum, spółka cywilna) i w trakcie realizacji umowy wystąpią           okoliczności uniemożliwiające lub utrudniające dalsze działanie wszystkim podmiotom tworzącym stronę        wykonawczą, w szczególności, gdyby została ogłoszona upadłość lub otwarta została likwidacja jednego lub kilku z tych podmiotów – w takim przypadku dopuszcza się za uprzednią zgodą Zamawiającego przejęcie </w:t>
      </w:r>
      <w:r>
        <w:rPr>
          <w:rFonts w:cs="Times New Roman"/>
          <w:sz w:val="22"/>
          <w:szCs w:val="22"/>
          <w:lang w:bidi="ar-SA"/>
        </w:rPr>
        <w:lastRenderedPageBreak/>
        <w:t>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13) zmiany nie są istotne w świetle uregulowań ustawy PZP, tzn. dotyczą kwestii czysto porządkowych,   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EBEECA" w14:textId="77777777" w:rsidR="007953A8" w:rsidRDefault="007953A8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>i będą traktowane odpowiednio jako: zatwierdzenia, informacje, polecenia lub zgody przekazane zgodnie  z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 xml:space="preserve">……………………….… </w:t>
      </w:r>
      <w:r>
        <w:rPr>
          <w:rFonts w:cs="Times New Roman"/>
          <w:sz w:val="22"/>
          <w:szCs w:val="22"/>
        </w:rPr>
        <w:t xml:space="preserve"> nr tel.: ………………, e-mail: ………………,  z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……………………………,   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 xml:space="preserve">nr tel.  ……………………………,   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>
      <w:pgSz w:w="11906" w:h="16838"/>
      <w:pgMar w:top="709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A265" w14:textId="77777777" w:rsidR="00BD341D" w:rsidRDefault="00BD341D">
      <w:r>
        <w:separator/>
      </w:r>
    </w:p>
  </w:endnote>
  <w:endnote w:type="continuationSeparator" w:id="0">
    <w:p w14:paraId="2A8BFD70" w14:textId="77777777" w:rsidR="00BD341D" w:rsidRDefault="00BD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5103" w14:textId="77777777" w:rsidR="00BD341D" w:rsidRDefault="00BD341D">
      <w:r>
        <w:rPr>
          <w:color w:val="000000"/>
        </w:rPr>
        <w:separator/>
      </w:r>
    </w:p>
  </w:footnote>
  <w:footnote w:type="continuationSeparator" w:id="0">
    <w:p w14:paraId="3E5BE508" w14:textId="77777777" w:rsidR="00BD341D" w:rsidRDefault="00BD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0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 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2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8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1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8"/>
  </w:num>
  <w:num w:numId="5" w16cid:durableId="267782990">
    <w:abstractNumId w:val="16"/>
  </w:num>
  <w:num w:numId="6" w16cid:durableId="1866672540">
    <w:abstractNumId w:val="27"/>
  </w:num>
  <w:num w:numId="7" w16cid:durableId="820384981">
    <w:abstractNumId w:val="28"/>
  </w:num>
  <w:num w:numId="8" w16cid:durableId="1324816204">
    <w:abstractNumId w:val="23"/>
  </w:num>
  <w:num w:numId="9" w16cid:durableId="761412862">
    <w:abstractNumId w:val="0"/>
  </w:num>
  <w:num w:numId="10" w16cid:durableId="1375806703">
    <w:abstractNumId w:val="10"/>
  </w:num>
  <w:num w:numId="11" w16cid:durableId="823932451">
    <w:abstractNumId w:val="4"/>
  </w:num>
  <w:num w:numId="12" w16cid:durableId="751199555">
    <w:abstractNumId w:val="7"/>
  </w:num>
  <w:num w:numId="13" w16cid:durableId="218368124">
    <w:abstractNumId w:val="3"/>
  </w:num>
  <w:num w:numId="14" w16cid:durableId="1318999296">
    <w:abstractNumId w:val="14"/>
  </w:num>
  <w:num w:numId="15" w16cid:durableId="651643543">
    <w:abstractNumId w:val="15"/>
  </w:num>
  <w:num w:numId="16" w16cid:durableId="1506901077">
    <w:abstractNumId w:val="21"/>
  </w:num>
  <w:num w:numId="17" w16cid:durableId="2026862557">
    <w:abstractNumId w:val="12"/>
  </w:num>
  <w:num w:numId="18" w16cid:durableId="981232776">
    <w:abstractNumId w:val="17"/>
  </w:num>
  <w:num w:numId="19" w16cid:durableId="2005817286">
    <w:abstractNumId w:val="26"/>
  </w:num>
  <w:num w:numId="20" w16cid:durableId="1105150153">
    <w:abstractNumId w:val="5"/>
  </w:num>
  <w:num w:numId="21" w16cid:durableId="1900481281">
    <w:abstractNumId w:val="6"/>
  </w:num>
  <w:num w:numId="22" w16cid:durableId="466701932">
    <w:abstractNumId w:val="20"/>
  </w:num>
  <w:num w:numId="23" w16cid:durableId="1417899389">
    <w:abstractNumId w:val="22"/>
  </w:num>
  <w:num w:numId="24" w16cid:durableId="1370766279">
    <w:abstractNumId w:val="13"/>
  </w:num>
  <w:num w:numId="25" w16cid:durableId="549195623">
    <w:abstractNumId w:val="29"/>
  </w:num>
  <w:num w:numId="26" w16cid:durableId="1609195732">
    <w:abstractNumId w:val="9"/>
  </w:num>
  <w:num w:numId="27" w16cid:durableId="894043636">
    <w:abstractNumId w:val="25"/>
  </w:num>
  <w:num w:numId="28" w16cid:durableId="2107731757">
    <w:abstractNumId w:val="8"/>
  </w:num>
  <w:num w:numId="29" w16cid:durableId="1332373645">
    <w:abstractNumId w:val="24"/>
  </w:num>
  <w:num w:numId="30" w16cid:durableId="1898783808">
    <w:abstractNumId w:val="19"/>
  </w:num>
  <w:num w:numId="31" w16cid:durableId="783232588">
    <w:abstractNumId w:val="18"/>
    <w:lvlOverride w:ilvl="0">
      <w:startOverride w:val="1"/>
    </w:lvlOverride>
  </w:num>
  <w:num w:numId="32" w16cid:durableId="1209760315">
    <w:abstractNumId w:val="16"/>
    <w:lvlOverride w:ilvl="0">
      <w:startOverride w:val="1"/>
    </w:lvlOverride>
  </w:num>
  <w:num w:numId="33" w16cid:durableId="99182596">
    <w:abstractNumId w:val="27"/>
    <w:lvlOverride w:ilvl="0">
      <w:startOverride w:val="1"/>
    </w:lvlOverride>
  </w:num>
  <w:num w:numId="34" w16cid:durableId="160582675">
    <w:abstractNumId w:val="12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0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7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0"/>
    <w:lvlOverride w:ilvl="0">
      <w:startOverride w:val="1"/>
    </w:lvlOverride>
  </w:num>
  <w:num w:numId="41" w16cid:durableId="1849903939">
    <w:abstractNumId w:val="25"/>
    <w:lvlOverride w:ilvl="0">
      <w:startOverride w:val="1"/>
    </w:lvlOverride>
  </w:num>
  <w:num w:numId="42" w16cid:durableId="168685965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53A8"/>
    <w:rsid w:val="007953A8"/>
    <w:rsid w:val="00BD341D"/>
    <w:rsid w:val="00D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 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 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/document/68413979?cm=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#/document/17099384?unitId=art(258)&amp;cm=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#/document/67894791?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/document/68413980?cm=DOCU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8445</Words>
  <Characters>50675</Characters>
  <Application>Microsoft Office Word</Application>
  <DocSecurity>0</DocSecurity>
  <Lines>422</Lines>
  <Paragraphs>118</Paragraphs>
  <ScaleCrop>false</ScaleCrop>
  <Company/>
  <LinksUpToDate>false</LinksUpToDate>
  <CharactersWithSpaces>59002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2</cp:revision>
  <cp:lastPrinted>2022-05-25T11:23:00Z</cp:lastPrinted>
  <dcterms:created xsi:type="dcterms:W3CDTF">2022-07-27T11:39:00Z</dcterms:created>
  <dcterms:modified xsi:type="dcterms:W3CDTF">2022-07-27T11:39:00Z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