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BCF4" w14:textId="77777777" w:rsidR="00C570EB" w:rsidRDefault="00C570EB" w:rsidP="00C570EB">
      <w:pPr>
        <w:pStyle w:val="Standard"/>
        <w:ind w:left="445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wg właściwości</w:t>
      </w:r>
    </w:p>
    <w:p w14:paraId="7114B880" w14:textId="77777777" w:rsidR="00C570EB" w:rsidRDefault="00C570EB" w:rsidP="00C570EB">
      <w:pPr>
        <w:pStyle w:val="Standard"/>
        <w:jc w:val="both"/>
        <w:rPr>
          <w:b/>
          <w:bCs/>
          <w:sz w:val="22"/>
          <w:szCs w:val="22"/>
        </w:rPr>
      </w:pPr>
    </w:p>
    <w:p w14:paraId="42F6FADD" w14:textId="09B8AF7A" w:rsidR="00C570EB" w:rsidRDefault="00C570EB" w:rsidP="00C570EB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ZP-WIK.271.1</w:t>
      </w:r>
      <w:r w:rsidR="00272531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.2021                                                                                     Gołdap, dn. </w:t>
      </w:r>
      <w:r w:rsidR="00272531">
        <w:rPr>
          <w:b/>
          <w:bCs/>
          <w:sz w:val="22"/>
          <w:szCs w:val="22"/>
        </w:rPr>
        <w:t>0</w:t>
      </w:r>
      <w:r w:rsidR="00DD3F7B">
        <w:rPr>
          <w:b/>
          <w:bCs/>
          <w:sz w:val="22"/>
          <w:szCs w:val="22"/>
        </w:rPr>
        <w:t>8</w:t>
      </w:r>
      <w:r w:rsidR="00272531">
        <w:rPr>
          <w:b/>
          <w:bCs/>
          <w:sz w:val="22"/>
          <w:szCs w:val="22"/>
        </w:rPr>
        <w:t>.09</w:t>
      </w:r>
      <w:r>
        <w:rPr>
          <w:b/>
          <w:bCs/>
          <w:sz w:val="22"/>
          <w:szCs w:val="22"/>
        </w:rPr>
        <w:t>.2021 r.</w:t>
      </w:r>
    </w:p>
    <w:p w14:paraId="1802CD93" w14:textId="77777777" w:rsidR="00C570EB" w:rsidRDefault="00C570EB" w:rsidP="00C570EB">
      <w:pPr>
        <w:pStyle w:val="Standard"/>
        <w:ind w:left="14"/>
        <w:rPr>
          <w:sz w:val="22"/>
          <w:szCs w:val="22"/>
        </w:rPr>
      </w:pPr>
    </w:p>
    <w:p w14:paraId="3E953959" w14:textId="77777777" w:rsidR="00C570EB" w:rsidRDefault="00C570EB" w:rsidP="00C570EB">
      <w:pPr>
        <w:pStyle w:val="Standard"/>
        <w:ind w:left="14"/>
        <w:rPr>
          <w:sz w:val="22"/>
          <w:szCs w:val="22"/>
        </w:rPr>
      </w:pPr>
    </w:p>
    <w:p w14:paraId="7DC5E6F7" w14:textId="182F7C14" w:rsidR="00C570EB" w:rsidRDefault="00C570EB" w:rsidP="00C570E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Dotyczy postępowania o udzielenie zamówienia publicznego </w:t>
      </w:r>
      <w:r w:rsidR="00272531">
        <w:rPr>
          <w:b/>
          <w:bCs/>
          <w:sz w:val="22"/>
          <w:szCs w:val="22"/>
        </w:rPr>
        <w:t>w przedmiocie budowy oświetlania w miejscowości Skocze</w:t>
      </w:r>
    </w:p>
    <w:p w14:paraId="2C3A978E" w14:textId="77777777" w:rsidR="00C570EB" w:rsidRDefault="00C570EB" w:rsidP="00C570EB">
      <w:pPr>
        <w:jc w:val="center"/>
        <w:rPr>
          <w:sz w:val="22"/>
          <w:szCs w:val="22"/>
        </w:rPr>
      </w:pPr>
    </w:p>
    <w:p w14:paraId="5ED4E5F2" w14:textId="77777777" w:rsidR="00C570EB" w:rsidRDefault="00C570EB" w:rsidP="00C570EB">
      <w:pPr>
        <w:pStyle w:val="Standard"/>
        <w:jc w:val="both"/>
        <w:rPr>
          <w:rFonts w:eastAsia="Times New Roman" w:cs="Times New Roman"/>
          <w:b/>
          <w:bCs/>
          <w:iCs/>
          <w:color w:val="000000"/>
          <w:sz w:val="22"/>
          <w:szCs w:val="22"/>
        </w:rPr>
      </w:pPr>
    </w:p>
    <w:p w14:paraId="28865A12" w14:textId="5C61BA75" w:rsidR="00C570EB" w:rsidRDefault="00C570EB" w:rsidP="00C570EB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  <w:r>
        <w:rPr>
          <w:sz w:val="22"/>
          <w:szCs w:val="22"/>
        </w:rPr>
        <w:tab/>
      </w:r>
      <w:r>
        <w:rPr>
          <w:rStyle w:val="Mocnowyrniony"/>
          <w:rFonts w:cs="Times New Roman"/>
          <w:sz w:val="22"/>
          <w:szCs w:val="22"/>
          <w:shd w:val="clear" w:color="auto" w:fill="FFFFFF"/>
        </w:rPr>
        <w:t>Gmina Gołdap, w trybie art. 284 ust. 2 Ustawy z dna 11 września 2019 r. Prawo zamówień publicznych (</w:t>
      </w:r>
      <w:proofErr w:type="spellStart"/>
      <w:r>
        <w:rPr>
          <w:rStyle w:val="Mocnowyrniony"/>
          <w:rFonts w:cs="Times New Roman"/>
          <w:sz w:val="22"/>
          <w:szCs w:val="22"/>
          <w:shd w:val="clear" w:color="auto" w:fill="FFFFFF"/>
        </w:rPr>
        <w:t>t.j</w:t>
      </w:r>
      <w:proofErr w:type="spellEnd"/>
      <w:r>
        <w:rPr>
          <w:rStyle w:val="Mocnowyrniony"/>
          <w:rFonts w:cs="Times New Roman"/>
          <w:sz w:val="22"/>
          <w:szCs w:val="22"/>
          <w:shd w:val="clear" w:color="auto" w:fill="FFFFFF"/>
        </w:rPr>
        <w:t xml:space="preserve">.: Dz. U. z 2021 r. poz. 1129 ze zm.), udziela odpowiedzi na pytanie przesłane drogą               e-mailową w dniu </w:t>
      </w:r>
      <w:r w:rsidR="00272531">
        <w:rPr>
          <w:rStyle w:val="Mocnowyrniony"/>
          <w:rFonts w:cs="Times New Roman"/>
          <w:sz w:val="22"/>
          <w:szCs w:val="22"/>
          <w:shd w:val="clear" w:color="auto" w:fill="FFFFFF"/>
        </w:rPr>
        <w:t>8 września</w:t>
      </w:r>
      <w:r>
        <w:rPr>
          <w:rStyle w:val="Mocnowyrniony"/>
          <w:rFonts w:cs="Times New Roman"/>
          <w:sz w:val="22"/>
          <w:szCs w:val="22"/>
          <w:shd w:val="clear" w:color="auto" w:fill="FFFFFF"/>
        </w:rPr>
        <w:t xml:space="preserve"> br.:</w:t>
      </w:r>
    </w:p>
    <w:p w14:paraId="453A2042" w14:textId="77777777" w:rsidR="00C570EB" w:rsidRDefault="00C570EB" w:rsidP="00C570EB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61F454E6" w14:textId="77777777" w:rsidR="00C570EB" w:rsidRPr="0060094D" w:rsidRDefault="00C570EB" w:rsidP="00C570EB">
      <w:pPr>
        <w:jc w:val="both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60094D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>Treść zapytania:</w:t>
      </w:r>
    </w:p>
    <w:p w14:paraId="75B1F20C" w14:textId="77777777" w:rsidR="00E3427D" w:rsidRPr="0060094D" w:rsidRDefault="00E3427D" w:rsidP="00E3427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2D2D2D"/>
          <w:kern w:val="0"/>
          <w:sz w:val="22"/>
          <w:szCs w:val="22"/>
          <w:lang w:eastAsia="pl-PL" w:bidi="ar-SA"/>
        </w:rPr>
      </w:pPr>
      <w:r w:rsidRPr="0060094D">
        <w:rPr>
          <w:rFonts w:eastAsia="Times New Roman" w:cs="Times New Roman"/>
          <w:color w:val="2D2D2D"/>
          <w:kern w:val="0"/>
          <w:sz w:val="22"/>
          <w:szCs w:val="22"/>
          <w:lang w:eastAsia="pl-PL" w:bidi="ar-SA"/>
        </w:rPr>
        <w:t>1. Proszę wskazać, który odcinek trasy na projekcie jest do wykonania oraz słupy (numer słupa)</w:t>
      </w:r>
    </w:p>
    <w:p w14:paraId="400810B4" w14:textId="77777777" w:rsidR="00C570EB" w:rsidRPr="0060094D" w:rsidRDefault="00C570EB" w:rsidP="00E3427D">
      <w:pPr>
        <w:widowControl/>
        <w:suppressAutoHyphens w:val="0"/>
        <w:jc w:val="both"/>
        <w:rPr>
          <w:sz w:val="22"/>
          <w:szCs w:val="22"/>
        </w:rPr>
      </w:pPr>
    </w:p>
    <w:p w14:paraId="1075A03C" w14:textId="3EFB57D9" w:rsidR="00C570EB" w:rsidRPr="0060094D" w:rsidRDefault="00C570EB" w:rsidP="00C570EB">
      <w:pPr>
        <w:jc w:val="both"/>
        <w:rPr>
          <w:b/>
          <w:bCs/>
          <w:sz w:val="22"/>
          <w:szCs w:val="22"/>
        </w:rPr>
      </w:pPr>
      <w:r w:rsidRPr="0060094D">
        <w:rPr>
          <w:b/>
          <w:bCs/>
          <w:sz w:val="22"/>
          <w:szCs w:val="22"/>
        </w:rPr>
        <w:t>Wyjaśnienie:</w:t>
      </w:r>
    </w:p>
    <w:p w14:paraId="4B65F2ED" w14:textId="7447CEFA" w:rsidR="00DB034F" w:rsidRPr="0060094D" w:rsidRDefault="00DB034F" w:rsidP="00C570EB">
      <w:pPr>
        <w:jc w:val="both"/>
        <w:rPr>
          <w:sz w:val="22"/>
          <w:szCs w:val="22"/>
        </w:rPr>
      </w:pPr>
      <w:r w:rsidRPr="0060094D">
        <w:rPr>
          <w:sz w:val="22"/>
          <w:szCs w:val="22"/>
        </w:rPr>
        <w:t xml:space="preserve">Zamawiający informuje, że do wykonania jest odcinek linii kablowej od słupa nr 1 do słupa nr 4, zgodnie ze schematem zasilania oświetlenia oraz słupy nr 1, 2 i 3.    </w:t>
      </w:r>
    </w:p>
    <w:p w14:paraId="6D7BF8B4" w14:textId="4800FD23" w:rsidR="00E3427D" w:rsidRPr="0060094D" w:rsidRDefault="00E3427D" w:rsidP="00C570EB">
      <w:pPr>
        <w:jc w:val="both"/>
        <w:rPr>
          <w:b/>
          <w:bCs/>
          <w:sz w:val="22"/>
          <w:szCs w:val="22"/>
        </w:rPr>
      </w:pPr>
    </w:p>
    <w:p w14:paraId="27FF68CF" w14:textId="77777777" w:rsidR="00E3427D" w:rsidRPr="0060094D" w:rsidRDefault="00E3427D" w:rsidP="00E3427D">
      <w:pPr>
        <w:jc w:val="both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60094D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>Treść zapytania:</w:t>
      </w:r>
    </w:p>
    <w:p w14:paraId="34C93401" w14:textId="429E2A5E" w:rsidR="00E3427D" w:rsidRPr="0060094D" w:rsidRDefault="00E3427D" w:rsidP="00E3427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2D2D2D"/>
          <w:kern w:val="0"/>
          <w:sz w:val="22"/>
          <w:szCs w:val="22"/>
          <w:lang w:eastAsia="pl-PL" w:bidi="ar-SA"/>
        </w:rPr>
      </w:pPr>
      <w:r w:rsidRPr="0060094D">
        <w:rPr>
          <w:rFonts w:eastAsia="Times New Roman" w:cs="Times New Roman"/>
          <w:color w:val="2D2D2D"/>
          <w:kern w:val="0"/>
          <w:sz w:val="22"/>
          <w:szCs w:val="22"/>
          <w:lang w:eastAsia="pl-PL" w:bidi="ar-SA"/>
        </w:rPr>
        <w:t>2. Czy wykonawca w swojej wycenie ma uwzględnić badanie współczynnika zagęszczenia gruntu po wykopach tak jak jest opisane w specyfikacji. </w:t>
      </w:r>
    </w:p>
    <w:p w14:paraId="25DCDBBD" w14:textId="77777777" w:rsidR="00E3427D" w:rsidRPr="0060094D" w:rsidRDefault="00E3427D" w:rsidP="00E3427D">
      <w:pPr>
        <w:widowControl/>
        <w:suppressAutoHyphens w:val="0"/>
        <w:jc w:val="both"/>
        <w:rPr>
          <w:sz w:val="22"/>
          <w:szCs w:val="22"/>
        </w:rPr>
      </w:pPr>
    </w:p>
    <w:p w14:paraId="24E69F2E" w14:textId="01DC48D5" w:rsidR="00E3427D" w:rsidRPr="0060094D" w:rsidRDefault="00E3427D" w:rsidP="00E3427D">
      <w:pPr>
        <w:jc w:val="both"/>
        <w:rPr>
          <w:b/>
          <w:bCs/>
          <w:sz w:val="22"/>
          <w:szCs w:val="22"/>
        </w:rPr>
      </w:pPr>
      <w:r w:rsidRPr="0060094D">
        <w:rPr>
          <w:b/>
          <w:bCs/>
          <w:sz w:val="22"/>
          <w:szCs w:val="22"/>
        </w:rPr>
        <w:t>Wyjaśnienie:</w:t>
      </w:r>
    </w:p>
    <w:p w14:paraId="7AE2B82A" w14:textId="15FCF51B" w:rsidR="00DB034F" w:rsidRPr="0060094D" w:rsidRDefault="00DB034F" w:rsidP="00E3427D">
      <w:pPr>
        <w:jc w:val="both"/>
        <w:rPr>
          <w:sz w:val="22"/>
          <w:szCs w:val="22"/>
        </w:rPr>
      </w:pPr>
      <w:r w:rsidRPr="0060094D">
        <w:rPr>
          <w:sz w:val="22"/>
          <w:szCs w:val="22"/>
        </w:rPr>
        <w:t xml:space="preserve">Tak, Wykonawca winien uwzględnić </w:t>
      </w:r>
      <w:r w:rsidRPr="0060094D">
        <w:rPr>
          <w:rFonts w:eastAsia="Times New Roman" w:cs="Times New Roman"/>
          <w:color w:val="2D2D2D"/>
          <w:kern w:val="0"/>
          <w:sz w:val="22"/>
          <w:szCs w:val="22"/>
          <w:lang w:eastAsia="pl-PL" w:bidi="ar-SA"/>
        </w:rPr>
        <w:t>badanie współczynnika zagęszczenia gruntu po wykopach</w:t>
      </w:r>
      <w:r w:rsidR="0060094D" w:rsidRPr="0060094D">
        <w:rPr>
          <w:rFonts w:eastAsia="Times New Roman" w:cs="Times New Roman"/>
          <w:color w:val="2D2D2D"/>
          <w:kern w:val="0"/>
          <w:sz w:val="22"/>
          <w:szCs w:val="22"/>
          <w:lang w:eastAsia="pl-PL" w:bidi="ar-SA"/>
        </w:rPr>
        <w:t>.</w:t>
      </w:r>
      <w:r w:rsidRPr="0060094D">
        <w:rPr>
          <w:sz w:val="22"/>
          <w:szCs w:val="22"/>
        </w:rPr>
        <w:t xml:space="preserve"> </w:t>
      </w:r>
    </w:p>
    <w:p w14:paraId="37F2E9B4" w14:textId="7CFC7873" w:rsidR="00E3427D" w:rsidRPr="0060094D" w:rsidRDefault="00E3427D" w:rsidP="00C570EB">
      <w:pPr>
        <w:jc w:val="both"/>
        <w:rPr>
          <w:b/>
          <w:bCs/>
          <w:sz w:val="22"/>
          <w:szCs w:val="22"/>
        </w:rPr>
      </w:pPr>
    </w:p>
    <w:p w14:paraId="6DDE03BC" w14:textId="021E847D" w:rsidR="00E3427D" w:rsidRPr="0060094D" w:rsidRDefault="00E3427D" w:rsidP="00E3427D">
      <w:pPr>
        <w:jc w:val="both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60094D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>Treść zapytania:</w:t>
      </w:r>
    </w:p>
    <w:p w14:paraId="79423183" w14:textId="05EDFE67" w:rsidR="00E3427D" w:rsidRPr="0060094D" w:rsidRDefault="00E3427D" w:rsidP="00E3427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2D2D2D"/>
          <w:kern w:val="0"/>
          <w:sz w:val="22"/>
          <w:szCs w:val="22"/>
          <w:lang w:eastAsia="pl-PL" w:bidi="ar-SA"/>
        </w:rPr>
      </w:pPr>
      <w:r w:rsidRPr="0060094D">
        <w:rPr>
          <w:rFonts w:eastAsia="Times New Roman" w:cs="Times New Roman"/>
          <w:color w:val="2D2D2D"/>
          <w:kern w:val="0"/>
          <w:sz w:val="22"/>
          <w:szCs w:val="22"/>
          <w:lang w:eastAsia="pl-PL" w:bidi="ar-SA"/>
        </w:rPr>
        <w:t>3. Czy wykonawca w swojej wycenie ma uwzględnić przebudowę szafki SO w zakresie montażu urządzeń SOFT Start, zwiększenia mocy, kompensacji mocy biernej. W dokumentacji projektowej przebudowa szafki jest uwzględniona w przedmiarze brak. Jeśli tak czy dokonanie pomiaru mocy biernej i wykonanie kompensacji mocy oraz montaż urządzeń SOFT START będą wchodzić w zakres rozbudowy szafki. </w:t>
      </w:r>
    </w:p>
    <w:p w14:paraId="7B727648" w14:textId="77777777" w:rsidR="00E3427D" w:rsidRPr="0060094D" w:rsidRDefault="00E3427D" w:rsidP="00E3427D">
      <w:pPr>
        <w:widowControl/>
        <w:suppressAutoHyphens w:val="0"/>
        <w:jc w:val="both"/>
        <w:rPr>
          <w:sz w:val="22"/>
          <w:szCs w:val="22"/>
        </w:rPr>
      </w:pPr>
    </w:p>
    <w:p w14:paraId="7CA5E0B7" w14:textId="15D38319" w:rsidR="00E3427D" w:rsidRPr="0060094D" w:rsidRDefault="00E3427D" w:rsidP="00C570EB">
      <w:pPr>
        <w:jc w:val="both"/>
        <w:rPr>
          <w:b/>
          <w:bCs/>
          <w:sz w:val="22"/>
          <w:szCs w:val="22"/>
        </w:rPr>
      </w:pPr>
      <w:r w:rsidRPr="0060094D">
        <w:rPr>
          <w:b/>
          <w:bCs/>
          <w:sz w:val="22"/>
          <w:szCs w:val="22"/>
        </w:rPr>
        <w:t>Wyjaśnienie:</w:t>
      </w:r>
    </w:p>
    <w:p w14:paraId="6A3AB96F" w14:textId="45E8FA34" w:rsidR="00C570EB" w:rsidRPr="0060094D" w:rsidRDefault="00DB034F">
      <w:pPr>
        <w:rPr>
          <w:sz w:val="22"/>
          <w:szCs w:val="22"/>
        </w:rPr>
      </w:pPr>
      <w:r w:rsidRPr="0060094D">
        <w:rPr>
          <w:sz w:val="22"/>
          <w:szCs w:val="22"/>
        </w:rPr>
        <w:t xml:space="preserve">Nie, pozycja przebudowy szafki nie podlega wycenie. </w:t>
      </w:r>
    </w:p>
    <w:sectPr w:rsidR="00C570EB" w:rsidRPr="00600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EB"/>
    <w:rsid w:val="00272531"/>
    <w:rsid w:val="0060094D"/>
    <w:rsid w:val="00C570EB"/>
    <w:rsid w:val="00DB034F"/>
    <w:rsid w:val="00DD3F7B"/>
    <w:rsid w:val="00E3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004A"/>
  <w15:chartTrackingRefBased/>
  <w15:docId w15:val="{339AB5EF-A2E4-4FB8-9BF3-7E961B07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0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570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ocnowyrniony">
    <w:name w:val="Mocno wyró¿niony"/>
    <w:rsid w:val="00C57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6</cp:revision>
  <cp:lastPrinted>2021-09-08T13:04:00Z</cp:lastPrinted>
  <dcterms:created xsi:type="dcterms:W3CDTF">2021-09-08T12:23:00Z</dcterms:created>
  <dcterms:modified xsi:type="dcterms:W3CDTF">2021-09-08T13:08:00Z</dcterms:modified>
</cp:coreProperties>
</file>