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XLVII/370/2022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Gołdapi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stycznia 2022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na terenie miasta Gołdap opłaty targowej oraz ustalenia wysokości i sposobu poboru opłaty targowej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1372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opłatach lokalnych (t.j. Dz.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1170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47§ 4a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Ordynacja podatkowa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Wprowadza się na terenie miasta Gołdap opłatę targową.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dzienną stawkę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21,00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zastrzeżeniem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dzienną stawkę opłaty targowej przy sprzedaży obnośnej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ręki, kosza, skrzynki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Terminem płatności opłaty targowej jest dzień,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prowadzona jest sprzedaż.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 się pobór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inkasa na targowisku miejskim. Inkasentem opłaty targowej jest Urząd Miejski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Gołdapi.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targową od handlu prowadzonego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miejscach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wnosi dokonujący sprzedaży bezpośrednio do kasy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Gołdapi lub na rachunek bankowy Urzędu Miejskiego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Gołdapi.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inkasenta ustala się wynagrodzenie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1% pobranych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terminowo odprowadzonych kwot.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Gołdapi.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XIV/113/2015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Gołdapi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wprowadzenia na terenie miasta Gołdap opłaty targowej oraz ustalenia wysokości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sposobu opłaty targowej.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Warmińsko – Mazurskiego.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Wiceprzewodniczący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Józef Wawrzyn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3E71B503-5966-4FB3-ACE7-AA6535ED9397.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XLVII/370/2022 z dnia 17 stycznia 2022 r.</dc:title>
  <dc:subject>w sprawie wprowadzenia na terenie miasta Gołdap opłaty targowej oraz ustalenia wysokości i^sposobu poboru opłaty targowej</dc:subject>
  <dc:creator>katarzyna.krusznis</dc:creator>
  <cp:lastModifiedBy>katarzyna.krusznis</cp:lastModifiedBy>
  <cp:revision>1</cp:revision>
  <dcterms:created xsi:type="dcterms:W3CDTF">2022-01-18T12:58:31Z</dcterms:created>
  <dcterms:modified xsi:type="dcterms:W3CDTF">2022-01-18T12:58:31Z</dcterms:modified>
  <cp:category>Akt prawny</cp:category>
</cp:coreProperties>
</file>